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960" w:rightChars="400"/>
        <w:jc w:val="right"/>
        <w:rPr>
          <w:color w:val="auto"/>
          <w:sz w:val="84"/>
          <w:szCs w:val="84"/>
        </w:rPr>
      </w:pPr>
      <w:r>
        <w:rPr>
          <w:color w:val="auto"/>
          <w:sz w:val="84"/>
          <w:szCs w:val="84"/>
        </w:rPr>
        <w:t>Q/CR</w:t>
      </w:r>
    </w:p>
    <w:p>
      <w:pPr>
        <w:ind w:left="1440" w:leftChars="600"/>
        <w:rPr>
          <w:color w:val="auto"/>
          <w:sz w:val="32"/>
          <w:szCs w:val="32"/>
        </w:rPr>
      </w:pPr>
      <w:r>
        <w:rPr>
          <w:color w:val="auto"/>
          <w:sz w:val="32"/>
          <w:szCs w:val="32"/>
        </w:rPr>
        <w:t>中国铁路总公司企业标准</w:t>
      </w:r>
    </w:p>
    <w:p>
      <w:pPr>
        <w:ind w:left="480" w:leftChars="200" w:right="300"/>
        <w:jc w:val="right"/>
        <w:rPr>
          <w:color w:val="auto"/>
          <w:sz w:val="30"/>
          <w:szCs w:val="30"/>
        </w:rPr>
      </w:pPr>
      <w:r>
        <w:rPr>
          <w:color w:val="auto"/>
          <w:sz w:val="30"/>
          <w:szCs w:val="30"/>
        </w:rPr>
        <w:t>P                                 Q/CR XXXX—201X</w:t>
      </w:r>
    </w:p>
    <w:p>
      <w:pPr>
        <w:jc w:val="center"/>
        <w:rPr>
          <w:color w:val="auto"/>
        </w:rPr>
      </w:pPr>
      <w:r>
        <w:rPr>
          <w:color w:val="auto"/>
        </w:rPr>
        <mc:AlternateContent>
          <mc:Choice Requires="wps">
            <w:drawing>
              <wp:anchor distT="0" distB="0" distL="114300" distR="114300" simplePos="0" relativeHeight="251657216" behindDoc="0" locked="0" layoutInCell="1" allowOverlap="1">
                <wp:simplePos x="0" y="0"/>
                <wp:positionH relativeFrom="column">
                  <wp:posOffset>-909955</wp:posOffset>
                </wp:positionH>
                <wp:positionV relativeFrom="paragraph">
                  <wp:posOffset>200660</wp:posOffset>
                </wp:positionV>
                <wp:extent cx="7767955" cy="0"/>
                <wp:effectExtent l="0" t="0" r="23495" b="19050"/>
                <wp:wrapNone/>
                <wp:docPr id="7" name="直接连接符 13"/>
                <wp:cNvGraphicFramePr/>
                <a:graphic xmlns:a="http://schemas.openxmlformats.org/drawingml/2006/main">
                  <a:graphicData uri="http://schemas.microsoft.com/office/word/2010/wordprocessingShape">
                    <wps:wsp>
                      <wps:cNvCnPr/>
                      <wps:spPr bwMode="auto">
                        <a:xfrm>
                          <a:off x="0" y="0"/>
                          <a:ext cx="7767955" cy="0"/>
                        </a:xfrm>
                        <a:prstGeom prst="line">
                          <a:avLst/>
                        </a:prstGeom>
                        <a:noFill/>
                        <a:ln w="12700">
                          <a:solidFill>
                            <a:srgbClr val="000000"/>
                          </a:solidFill>
                          <a:miter lim="800000"/>
                        </a:ln>
                      </wps:spPr>
                      <wps:bodyPr/>
                    </wps:wsp>
                  </a:graphicData>
                </a:graphic>
              </wp:anchor>
            </w:drawing>
          </mc:Choice>
          <mc:Fallback>
            <w:pict>
              <v:line id="直接连接符 13" o:spid="_x0000_s1026" o:spt="20" style="position:absolute;left:0pt;margin-left:-71.65pt;margin-top:15.8pt;height:0pt;width:611.65pt;z-index:251657216;mso-width-relative:page;mso-height-relative:page;" filled="f" stroked="t" coordsize="21600,21600" o:gfxdata="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HloXsnZAAAACwEAAA8AAAAAAAAAAQAgAAAAIgAAAGRycy9kb3ducmV2LnhtbFBLAQIUABQA&#10;AAAIAIdO4kCZcW8dtgEAADkDAAAOAAAAAAAAAAEAIAAAACgBAABkcnMvZTJvRG9jLnhtbFBLBQYA&#10;AAAABgAGAFkBAABQBQAAAAA=&#10;">
                <v:fill on="f" focussize="0,0"/>
                <v:stroke weight="1pt" color="#000000" miterlimit="8" joinstyle="miter"/>
                <v:imagedata o:title=""/>
                <o:lock v:ext="edit" aspectratio="f"/>
              </v:line>
            </w:pict>
          </mc:Fallback>
        </mc:AlternateContent>
      </w:r>
    </w:p>
    <w:p>
      <w:pPr>
        <w:jc w:val="center"/>
        <w:rPr>
          <w:color w:val="auto"/>
        </w:rPr>
      </w:pPr>
    </w:p>
    <w:p>
      <w:pPr>
        <w:jc w:val="center"/>
        <w:rPr>
          <w:color w:val="auto"/>
        </w:rPr>
      </w:pPr>
    </w:p>
    <w:p>
      <w:pPr>
        <w:jc w:val="center"/>
        <w:rPr>
          <w:color w:val="auto"/>
        </w:rPr>
      </w:pPr>
    </w:p>
    <w:p>
      <w:pPr>
        <w:jc w:val="center"/>
        <w:rPr>
          <w:color w:val="auto"/>
          <w:sz w:val="44"/>
          <w:szCs w:val="44"/>
        </w:rPr>
      </w:pPr>
      <w:r>
        <w:rPr>
          <w:color w:val="auto"/>
          <w:sz w:val="44"/>
          <w:szCs w:val="44"/>
        </w:rPr>
        <w:t>铁路隧道湿喷混凝土施工规程</w:t>
      </w:r>
    </w:p>
    <w:p>
      <w:pPr>
        <w:jc w:val="center"/>
        <w:rPr>
          <w:color w:val="auto"/>
        </w:rPr>
      </w:pPr>
      <w:r>
        <w:rPr>
          <w:rFonts w:hint="eastAsia"/>
          <w:color w:val="auto"/>
        </w:rPr>
        <w:t>（</w:t>
      </w:r>
      <w:r>
        <w:rPr>
          <w:color w:val="auto"/>
        </w:rPr>
        <w:t>Specification for Wet-spray Concrete Construction of Railway Tunnel</w:t>
      </w:r>
      <w:r>
        <w:rPr>
          <w:rFonts w:hint="eastAsia"/>
          <w:color w:val="auto"/>
        </w:rPr>
        <w:t>）</w:t>
      </w:r>
    </w:p>
    <w:p>
      <w:pPr>
        <w:jc w:val="center"/>
        <w:rPr>
          <w:rFonts w:hint="eastAsia" w:eastAsia="宋体"/>
          <w:color w:val="auto"/>
          <w:sz w:val="32"/>
          <w:szCs w:val="32"/>
          <w:lang w:eastAsia="zh-CN"/>
        </w:rPr>
      </w:pPr>
      <w:r>
        <w:rPr>
          <w:rFonts w:hint="eastAsia"/>
          <w:color w:val="auto"/>
          <w:sz w:val="32"/>
          <w:szCs w:val="32"/>
          <w:lang w:eastAsia="zh-CN"/>
        </w:rPr>
        <w:t>（</w:t>
      </w:r>
      <w:r>
        <w:rPr>
          <w:rFonts w:hint="eastAsia"/>
          <w:color w:val="auto"/>
          <w:sz w:val="32"/>
          <w:szCs w:val="32"/>
          <w:lang w:val="en-US" w:eastAsia="zh-CN"/>
        </w:rPr>
        <w:t>征求意见稿</w:t>
      </w:r>
      <w:bookmarkStart w:id="107" w:name="_GoBack"/>
      <w:bookmarkEnd w:id="107"/>
      <w:r>
        <w:rPr>
          <w:rFonts w:hint="eastAsia"/>
          <w:color w:val="auto"/>
          <w:sz w:val="32"/>
          <w:szCs w:val="32"/>
          <w:lang w:eastAsia="zh-CN"/>
        </w:rPr>
        <w:t>）</w:t>
      </w:r>
    </w:p>
    <w:p>
      <w:pPr>
        <w:jc w:val="center"/>
        <w:rPr>
          <w:color w:val="auto"/>
          <w:sz w:val="32"/>
          <w:szCs w:val="32"/>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rPr>
          <w:color w:val="auto"/>
        </w:rPr>
      </w:pPr>
      <w:r>
        <w:rPr>
          <w:color w:val="auto"/>
        </w:rPr>
        <w:t>201X—XX—XX  发布                                  201X—XX—XX  实施</w:t>
      </w:r>
    </w:p>
    <w:p>
      <w:pPr>
        <w:jc w:val="center"/>
        <w:rPr>
          <w:color w:val="auto"/>
        </w:rPr>
      </w:pPr>
      <w:r>
        <w:rPr>
          <w:color w:val="auto"/>
        </w:rPr>
        <mc:AlternateContent>
          <mc:Choice Requires="wps">
            <w:drawing>
              <wp:anchor distT="0" distB="0" distL="114300" distR="114300" simplePos="0" relativeHeight="251658240" behindDoc="0" locked="0" layoutInCell="1" allowOverlap="1">
                <wp:simplePos x="0" y="0"/>
                <wp:positionH relativeFrom="column">
                  <wp:posOffset>-939800</wp:posOffset>
                </wp:positionH>
                <wp:positionV relativeFrom="paragraph">
                  <wp:posOffset>-635</wp:posOffset>
                </wp:positionV>
                <wp:extent cx="7767955" cy="0"/>
                <wp:effectExtent l="0" t="0" r="23495" b="19050"/>
                <wp:wrapNone/>
                <wp:docPr id="2" name="直接连接符 12"/>
                <wp:cNvGraphicFramePr/>
                <a:graphic xmlns:a="http://schemas.openxmlformats.org/drawingml/2006/main">
                  <a:graphicData uri="http://schemas.microsoft.com/office/word/2010/wordprocessingShape">
                    <wps:wsp>
                      <wps:cNvCnPr/>
                      <wps:spPr bwMode="auto">
                        <a:xfrm>
                          <a:off x="0" y="0"/>
                          <a:ext cx="7767955" cy="0"/>
                        </a:xfrm>
                        <a:prstGeom prst="line">
                          <a:avLst/>
                        </a:prstGeom>
                        <a:noFill/>
                        <a:ln w="12700">
                          <a:solidFill>
                            <a:srgbClr val="000000"/>
                          </a:solidFill>
                          <a:miter lim="800000"/>
                        </a:ln>
                      </wps:spPr>
                      <wps:bodyPr/>
                    </wps:wsp>
                  </a:graphicData>
                </a:graphic>
              </wp:anchor>
            </w:drawing>
          </mc:Choice>
          <mc:Fallback>
            <w:pict>
              <v:line id="直接连接符 12" o:spid="_x0000_s1026" o:spt="20" style="position:absolute;left:0pt;margin-left:-74pt;margin-top:-0.05pt;height:0pt;width:611.65pt;z-index:251658240;mso-width-relative:page;mso-height-relative:page;" filled="f" stroked="t" coordsize="21600,21600" o:gfxdata="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">
                <v:fill on="f" focussize="0,0"/>
                <v:stroke weight="1pt" color="#000000" miterlimit="8" joinstyle="miter"/>
                <v:imagedata o:title=""/>
                <o:lock v:ext="edit" aspectratio="f"/>
              </v:line>
            </w:pict>
          </mc:Fallback>
        </mc:AlternateContent>
      </w:r>
    </w:p>
    <w:p>
      <w:pPr>
        <w:jc w:val="center"/>
        <w:rPr>
          <w:color w:val="auto"/>
          <w:sz w:val="32"/>
          <w:szCs w:val="32"/>
        </w:rPr>
      </w:pPr>
      <w:r>
        <w:rPr>
          <w:color w:val="auto"/>
          <w:sz w:val="32"/>
          <w:szCs w:val="32"/>
        </w:rPr>
        <w:t>中国铁路总公司发布</w:t>
      </w:r>
    </w:p>
    <w:p>
      <w:pPr>
        <w:jc w:val="center"/>
        <w:rPr>
          <w:color w:val="auto"/>
        </w:rPr>
      </w:pPr>
    </w:p>
    <w:p>
      <w:pPr>
        <w:jc w:val="center"/>
        <w:rPr>
          <w:color w:val="auto"/>
        </w:rPr>
      </w:pPr>
    </w:p>
    <w:p>
      <w:pPr>
        <w:jc w:val="center"/>
        <w:rPr>
          <w:color w:val="auto"/>
        </w:rPr>
      </w:pPr>
    </w:p>
    <w:p>
      <w:pPr>
        <w:jc w:val="center"/>
        <w:rPr>
          <w:color w:val="auto"/>
        </w:rPr>
      </w:pPr>
    </w:p>
    <w:p>
      <w:pPr>
        <w:jc w:val="center"/>
        <w:rPr>
          <w:rFonts w:ascii="黑体" w:hAnsi="黑体" w:eastAsia="黑体"/>
          <w:color w:val="auto"/>
          <w:sz w:val="30"/>
          <w:szCs w:val="30"/>
        </w:rPr>
      </w:pPr>
      <w:r>
        <w:rPr>
          <w:rFonts w:ascii="黑体" w:hAnsi="黑体" w:eastAsia="黑体"/>
          <w:color w:val="auto"/>
          <w:sz w:val="30"/>
          <w:szCs w:val="30"/>
        </w:rPr>
        <w:t>中国铁路总公司企业标准</w:t>
      </w:r>
    </w:p>
    <w:p>
      <w:pPr>
        <w:jc w:val="center"/>
        <w:rPr>
          <w:color w:val="auto"/>
        </w:rPr>
      </w:pPr>
    </w:p>
    <w:p>
      <w:pPr>
        <w:jc w:val="center"/>
        <w:rPr>
          <w:color w:val="auto"/>
        </w:rPr>
      </w:pPr>
    </w:p>
    <w:p>
      <w:pPr>
        <w:jc w:val="center"/>
        <w:rPr>
          <w:color w:val="auto"/>
        </w:rPr>
      </w:pPr>
    </w:p>
    <w:p>
      <w:pPr>
        <w:jc w:val="center"/>
        <w:rPr>
          <w:rFonts w:ascii="黑体" w:hAnsi="黑体" w:eastAsia="黑体"/>
          <w:color w:val="auto"/>
          <w:sz w:val="32"/>
          <w:szCs w:val="32"/>
        </w:rPr>
      </w:pPr>
      <w:r>
        <w:rPr>
          <w:rFonts w:ascii="黑体" w:hAnsi="黑体" w:eastAsia="黑体"/>
          <w:color w:val="auto"/>
          <w:sz w:val="32"/>
          <w:szCs w:val="32"/>
        </w:rPr>
        <w:t>铁路隧道湿喷混凝土施工规程</w:t>
      </w:r>
    </w:p>
    <w:p>
      <w:pPr>
        <w:jc w:val="center"/>
        <w:rPr>
          <w:color w:val="auto"/>
        </w:rPr>
      </w:pPr>
      <w:r>
        <w:rPr>
          <w:rFonts w:hint="eastAsia"/>
          <w:color w:val="auto"/>
        </w:rPr>
        <w:t>（</w:t>
      </w:r>
      <w:r>
        <w:rPr>
          <w:color w:val="auto"/>
        </w:rPr>
        <w:t>Specification for Wet-spray Concrete Construction of Railway Tunnel</w:t>
      </w:r>
      <w:r>
        <w:rPr>
          <w:rFonts w:hint="eastAsia"/>
          <w:color w:val="auto"/>
        </w:rPr>
        <w:t>）</w:t>
      </w:r>
    </w:p>
    <w:p>
      <w:pPr>
        <w:jc w:val="center"/>
        <w:rPr>
          <w:color w:val="auto"/>
        </w:rPr>
      </w:pPr>
    </w:p>
    <w:p>
      <w:pPr>
        <w:jc w:val="center"/>
        <w:rPr>
          <w:rFonts w:eastAsia="黑体"/>
          <w:color w:val="auto"/>
        </w:rPr>
      </w:pPr>
      <w:r>
        <w:rPr>
          <w:rFonts w:eastAsia="黑体"/>
          <w:color w:val="auto"/>
        </w:rPr>
        <w:t>Q/CR XXXX—201X</w:t>
      </w:r>
    </w:p>
    <w:p>
      <w:pPr>
        <w:jc w:val="center"/>
        <w:rPr>
          <w:color w:val="auto"/>
        </w:rPr>
      </w:pPr>
    </w:p>
    <w:p>
      <w:pPr>
        <w:ind w:firstLine="2400" w:firstLineChars="1000"/>
        <w:rPr>
          <w:color w:val="auto"/>
          <w:szCs w:val="24"/>
        </w:rPr>
      </w:pPr>
      <w:r>
        <w:rPr>
          <w:color w:val="auto"/>
          <w:szCs w:val="24"/>
        </w:rPr>
        <w:t>主编单位：武九铁路客运专线湖北有限</w:t>
      </w:r>
      <w:r>
        <w:rPr>
          <w:rFonts w:hint="eastAsia"/>
          <w:color w:val="auto"/>
          <w:szCs w:val="24"/>
        </w:rPr>
        <w:t>责任</w:t>
      </w:r>
      <w:r>
        <w:rPr>
          <w:color w:val="auto"/>
          <w:szCs w:val="24"/>
        </w:rPr>
        <w:t>公司</w:t>
      </w:r>
    </w:p>
    <w:p>
      <w:pPr>
        <w:ind w:firstLine="2400" w:firstLineChars="1000"/>
        <w:rPr>
          <w:color w:val="auto"/>
          <w:szCs w:val="24"/>
        </w:rPr>
      </w:pPr>
      <w:r>
        <w:rPr>
          <w:color w:val="auto"/>
          <w:szCs w:val="24"/>
        </w:rPr>
        <w:t>批准部门：中国铁路总公司</w:t>
      </w:r>
    </w:p>
    <w:p>
      <w:pPr>
        <w:ind w:firstLine="2400" w:firstLineChars="1000"/>
        <w:rPr>
          <w:color w:val="auto"/>
          <w:szCs w:val="24"/>
        </w:rPr>
      </w:pPr>
      <w:r>
        <w:rPr>
          <w:color w:val="auto"/>
          <w:szCs w:val="24"/>
        </w:rPr>
        <w:t>实施日期：201X年XX月XX日</w:t>
      </w: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jc w:val="center"/>
        <w:rPr>
          <w:color w:val="auto"/>
        </w:rPr>
      </w:pPr>
    </w:p>
    <w:p>
      <w:pPr>
        <w:adjustRightInd w:val="0"/>
        <w:snapToGrid w:val="0"/>
        <w:jc w:val="center"/>
        <w:rPr>
          <w:rFonts w:ascii="华文仿宋" w:hAnsi="华文仿宋" w:eastAsia="华文仿宋"/>
          <w:color w:val="auto"/>
          <w:spacing w:val="4"/>
          <w:kern w:val="0"/>
          <w:sz w:val="28"/>
          <w:szCs w:val="28"/>
        </w:rPr>
      </w:pPr>
      <w:r>
        <w:rPr>
          <w:rFonts w:ascii="华文仿宋" w:hAnsi="华文仿宋" w:eastAsia="华文仿宋"/>
          <w:color w:val="auto"/>
          <w:spacing w:val="4"/>
          <w:kern w:val="0"/>
          <w:sz w:val="28"/>
          <w:szCs w:val="28"/>
        </w:rPr>
        <w:t>中国铁道出版社</w:t>
      </w:r>
    </w:p>
    <w:p>
      <w:pPr>
        <w:jc w:val="center"/>
        <w:rPr>
          <w:rFonts w:ascii="黑体" w:hAnsi="黑体" w:eastAsia="黑体"/>
          <w:color w:val="auto"/>
          <w:szCs w:val="24"/>
        </w:rPr>
      </w:pPr>
      <w:r>
        <w:rPr>
          <w:rFonts w:ascii="黑体" w:hAnsi="黑体" w:eastAsia="黑体"/>
          <w:color w:val="auto"/>
          <w:szCs w:val="24"/>
        </w:rPr>
        <w:t>201X年·北京</w:t>
      </w:r>
    </w:p>
    <w:p>
      <w:pPr>
        <w:jc w:val="center"/>
        <w:rPr>
          <w:color w:val="auto"/>
        </w:rPr>
      </w:pPr>
    </w:p>
    <w:p>
      <w:pPr>
        <w:jc w:val="center"/>
        <w:rPr>
          <w:color w:val="auto"/>
          <w:sz w:val="28"/>
        </w:rPr>
        <w:sectPr>
          <w:headerReference r:id="rId4" w:type="first"/>
          <w:footerReference r:id="rId7" w:type="first"/>
          <w:footerReference r:id="rId5" w:type="default"/>
          <w:headerReference r:id="rId3" w:type="even"/>
          <w:footerReference r:id="rId6" w:type="even"/>
          <w:pgSz w:w="11906" w:h="16838"/>
          <w:pgMar w:top="1440" w:right="1418" w:bottom="1440" w:left="1418" w:header="851" w:footer="992" w:gutter="0"/>
          <w:cols w:space="425" w:num="1"/>
          <w:docGrid w:type="lines" w:linePitch="312" w:charSpace="0"/>
        </w:sectPr>
      </w:pPr>
    </w:p>
    <w:p>
      <w:pPr>
        <w:pStyle w:val="147"/>
        <w:spacing w:before="156" w:beforeLines="50" w:after="156" w:afterLines="50" w:line="578" w:lineRule="auto"/>
        <w:jc w:val="center"/>
        <w:rPr>
          <w:rFonts w:ascii="Times New Roman" w:hAnsi="Times New Roman"/>
          <w:b/>
          <w:color w:val="auto"/>
          <w:sz w:val="36"/>
          <w:szCs w:val="28"/>
        </w:rPr>
      </w:pPr>
      <w:r>
        <w:rPr>
          <w:rFonts w:ascii="Times New Roman" w:hAnsi="Times New Roman"/>
          <w:b/>
          <w:color w:val="auto"/>
          <w:sz w:val="36"/>
          <w:szCs w:val="28"/>
        </w:rPr>
        <w:t>前    言</w:t>
      </w:r>
    </w:p>
    <w:p>
      <w:pPr>
        <w:spacing w:line="400" w:lineRule="atLeast"/>
        <w:ind w:firstLine="420"/>
        <w:rPr>
          <w:rFonts w:eastAsiaTheme="minorEastAsia"/>
          <w:color w:val="auto"/>
          <w:szCs w:val="24"/>
        </w:rPr>
      </w:pPr>
      <w:r>
        <w:rPr>
          <w:rFonts w:eastAsiaTheme="minorEastAsia"/>
          <w:color w:val="auto"/>
          <w:szCs w:val="24"/>
        </w:rPr>
        <w:t>本规程是根据《中国铁路总公司关于印发2018年铁路工程建设标准编制计划的通知》铁总建设函〔2018〕180号文的要求编制</w:t>
      </w:r>
      <w:r>
        <w:rPr>
          <w:rFonts w:hint="eastAsia" w:eastAsiaTheme="minorEastAsia"/>
          <w:color w:val="auto"/>
          <w:szCs w:val="24"/>
        </w:rPr>
        <w:t>而成</w:t>
      </w:r>
      <w:r>
        <w:rPr>
          <w:rFonts w:eastAsiaTheme="minorEastAsia"/>
          <w:color w:val="auto"/>
          <w:szCs w:val="24"/>
        </w:rPr>
        <w:t>。</w:t>
      </w:r>
    </w:p>
    <w:p>
      <w:pPr>
        <w:spacing w:line="400" w:lineRule="atLeast"/>
        <w:ind w:firstLine="480" w:firstLineChars="200"/>
        <w:rPr>
          <w:rFonts w:eastAsiaTheme="minorEastAsia"/>
          <w:color w:val="auto"/>
          <w:kern w:val="0"/>
          <w:szCs w:val="24"/>
        </w:rPr>
      </w:pPr>
      <w:r>
        <w:rPr>
          <w:rFonts w:eastAsiaTheme="minorEastAsia"/>
          <w:color w:val="auto"/>
          <w:szCs w:val="24"/>
        </w:rPr>
        <w:t>本规程编制过程中，系统总结了国内外近年来铁路隧道湿喷混凝土施工经验，吸纳了郑万高铁、蒙华铁路、黔张常铁路、玉磨铁路等线路的试验研究成果，借鉴了国内有关标准及规定，在广泛征求意见的基础上，经反复审查定稿，</w:t>
      </w:r>
      <w:r>
        <w:rPr>
          <w:rFonts w:eastAsiaTheme="minorEastAsia"/>
          <w:color w:val="auto"/>
          <w:kern w:val="0"/>
          <w:szCs w:val="24"/>
        </w:rPr>
        <w:t xml:space="preserve">进一步提升了规程的科学性和技术经济合理性。 </w:t>
      </w:r>
    </w:p>
    <w:p>
      <w:pPr>
        <w:spacing w:line="400" w:lineRule="atLeast"/>
        <w:ind w:firstLine="420"/>
        <w:rPr>
          <w:rFonts w:hint="eastAsia" w:eastAsiaTheme="minorEastAsia"/>
          <w:color w:val="auto"/>
          <w:szCs w:val="24"/>
        </w:rPr>
      </w:pPr>
      <w:r>
        <w:rPr>
          <w:rFonts w:eastAsiaTheme="minorEastAsia"/>
          <w:color w:val="auto"/>
          <w:szCs w:val="24"/>
        </w:rPr>
        <w:t>本规范共分9章，主要包括总则、术语和符号、基本规定、原材料、</w:t>
      </w:r>
      <w:r>
        <w:rPr>
          <w:rFonts w:hint="eastAsia" w:eastAsiaTheme="minorEastAsia"/>
          <w:color w:val="auto"/>
          <w:szCs w:val="24"/>
        </w:rPr>
        <w:t>湿喷混凝土</w:t>
      </w:r>
      <w:r>
        <w:rPr>
          <w:rFonts w:eastAsiaTheme="minorEastAsia"/>
          <w:color w:val="auto"/>
          <w:szCs w:val="24"/>
        </w:rPr>
        <w:t>配合比设计及性能、</w:t>
      </w:r>
      <w:r>
        <w:rPr>
          <w:rFonts w:hint="eastAsia" w:eastAsiaTheme="minorEastAsia"/>
          <w:color w:val="auto"/>
          <w:szCs w:val="24"/>
        </w:rPr>
        <w:t>湿喷混凝土的</w:t>
      </w:r>
      <w:r>
        <w:rPr>
          <w:rFonts w:eastAsiaTheme="minorEastAsia"/>
          <w:color w:val="auto"/>
          <w:szCs w:val="24"/>
        </w:rPr>
        <w:t>制备与运输、</w:t>
      </w:r>
      <w:r>
        <w:rPr>
          <w:rFonts w:hint="eastAsia" w:eastAsiaTheme="minorEastAsia"/>
          <w:color w:val="auto"/>
          <w:szCs w:val="24"/>
        </w:rPr>
        <w:t>喷射</w:t>
      </w:r>
      <w:r>
        <w:rPr>
          <w:rFonts w:eastAsiaTheme="minorEastAsia"/>
          <w:color w:val="auto"/>
          <w:szCs w:val="24"/>
        </w:rPr>
        <w:t>作业与养护、安全环保措施和质量检</w:t>
      </w:r>
      <w:r>
        <w:rPr>
          <w:rFonts w:hint="eastAsia" w:eastAsiaTheme="minorEastAsia"/>
          <w:color w:val="auto"/>
          <w:szCs w:val="24"/>
        </w:rPr>
        <w:t>查</w:t>
      </w:r>
      <w:r>
        <w:rPr>
          <w:rFonts w:eastAsiaTheme="minorEastAsia"/>
          <w:color w:val="auto"/>
          <w:szCs w:val="24"/>
        </w:rPr>
        <w:t>，另有6个附录。</w:t>
      </w:r>
    </w:p>
    <w:p>
      <w:pPr>
        <w:spacing w:line="400" w:lineRule="atLeast"/>
        <w:ind w:firstLine="420"/>
        <w:rPr>
          <w:rFonts w:hint="eastAsia" w:eastAsiaTheme="minorEastAsia"/>
          <w:color w:val="auto"/>
          <w:szCs w:val="24"/>
        </w:rPr>
      </w:pPr>
      <w:r>
        <w:rPr>
          <w:rFonts w:hint="eastAsia" w:eastAsiaTheme="minorEastAsia"/>
          <w:color w:val="auto"/>
          <w:szCs w:val="24"/>
        </w:rPr>
        <w:t>本规程规定的主要内容如下：</w:t>
      </w:r>
    </w:p>
    <w:p>
      <w:pPr>
        <w:pStyle w:val="178"/>
        <w:numPr>
          <w:ilvl w:val="0"/>
          <w:numId w:val="3"/>
        </w:numPr>
        <w:spacing w:line="400" w:lineRule="atLeast"/>
        <w:rPr>
          <w:rFonts w:hint="eastAsia" w:eastAsiaTheme="minorEastAsia"/>
          <w:color w:val="auto"/>
          <w:szCs w:val="24"/>
        </w:rPr>
      </w:pPr>
      <w:r>
        <w:rPr>
          <w:color w:val="auto"/>
          <w:kern w:val="0"/>
          <w:lang w:val="zh-CN"/>
        </w:rPr>
        <w:t>明确了</w:t>
      </w:r>
      <w:r>
        <w:rPr>
          <w:rFonts w:hint="eastAsia"/>
          <w:color w:val="auto"/>
          <w:kern w:val="0"/>
          <w:lang w:val="zh-CN"/>
        </w:rPr>
        <w:t>铁路</w:t>
      </w:r>
      <w:r>
        <w:rPr>
          <w:color w:val="auto"/>
          <w:kern w:val="0"/>
          <w:lang w:val="zh-CN"/>
        </w:rPr>
        <w:t>隧道湿喷混凝土施工</w:t>
      </w:r>
      <w:r>
        <w:rPr>
          <w:rFonts w:hint="eastAsia"/>
          <w:color w:val="auto"/>
          <w:kern w:val="0"/>
          <w:lang w:val="zh-CN"/>
        </w:rPr>
        <w:t>工艺</w:t>
      </w:r>
      <w:r>
        <w:rPr>
          <w:color w:val="auto"/>
          <w:kern w:val="0"/>
          <w:lang w:val="zh-CN"/>
        </w:rPr>
        <w:t>流程。</w:t>
      </w:r>
    </w:p>
    <w:p>
      <w:pPr>
        <w:pStyle w:val="178"/>
        <w:numPr>
          <w:ilvl w:val="0"/>
          <w:numId w:val="3"/>
        </w:numPr>
        <w:spacing w:line="400" w:lineRule="atLeast"/>
        <w:rPr>
          <w:rFonts w:hint="eastAsia" w:eastAsiaTheme="minorEastAsia"/>
          <w:color w:val="auto"/>
          <w:szCs w:val="24"/>
        </w:rPr>
      </w:pPr>
      <w:r>
        <w:rPr>
          <w:rFonts w:hint="eastAsia" w:eastAsiaTheme="minorEastAsia"/>
          <w:color w:val="auto"/>
          <w:szCs w:val="24"/>
        </w:rPr>
        <w:t>提出了喷射前应进行工艺性试验，并明确工艺性试验内容。</w:t>
      </w:r>
    </w:p>
    <w:p>
      <w:pPr>
        <w:pStyle w:val="178"/>
        <w:numPr>
          <w:ilvl w:val="0"/>
          <w:numId w:val="3"/>
        </w:numPr>
        <w:spacing w:line="400" w:lineRule="atLeast"/>
        <w:rPr>
          <w:rFonts w:hint="eastAsia" w:eastAsiaTheme="minorEastAsia"/>
          <w:color w:val="auto"/>
          <w:szCs w:val="24"/>
        </w:rPr>
      </w:pPr>
      <w:r>
        <w:rPr>
          <w:rFonts w:hint="eastAsia" w:eastAsiaTheme="minorEastAsia"/>
          <w:color w:val="auto"/>
          <w:szCs w:val="24"/>
        </w:rPr>
        <w:t>增加了</w:t>
      </w:r>
      <w:r>
        <w:rPr>
          <w:rFonts w:hint="eastAsia" w:eastAsiaTheme="minorEastAsia"/>
          <w:color w:val="auto"/>
          <w:szCs w:val="24"/>
          <w:lang w:val="en-US" w:eastAsia="zh-CN"/>
        </w:rPr>
        <w:t>湿喷混凝土</w:t>
      </w:r>
      <w:r>
        <w:rPr>
          <w:rFonts w:hint="eastAsia" w:eastAsiaTheme="minorEastAsia"/>
          <w:color w:val="auto"/>
          <w:szCs w:val="24"/>
        </w:rPr>
        <w:t>施工作业内容和控制指标参数。</w:t>
      </w:r>
    </w:p>
    <w:p>
      <w:pPr>
        <w:pStyle w:val="178"/>
        <w:numPr>
          <w:ilvl w:val="0"/>
          <w:numId w:val="3"/>
        </w:numPr>
        <w:spacing w:line="400" w:lineRule="atLeast"/>
        <w:rPr>
          <w:rFonts w:hint="eastAsia" w:eastAsiaTheme="minorEastAsia"/>
          <w:color w:val="auto"/>
          <w:szCs w:val="24"/>
        </w:rPr>
      </w:pPr>
      <w:r>
        <w:rPr>
          <w:rFonts w:hint="eastAsia" w:eastAsiaTheme="minorEastAsia"/>
          <w:color w:val="auto"/>
          <w:szCs w:val="24"/>
        </w:rPr>
        <w:t>增加了湿喷纤维混凝土的制备工艺。</w:t>
      </w:r>
    </w:p>
    <w:p>
      <w:pPr>
        <w:pStyle w:val="178"/>
        <w:numPr>
          <w:ilvl w:val="0"/>
          <w:numId w:val="3"/>
        </w:numPr>
        <w:spacing w:line="400" w:lineRule="atLeast"/>
        <w:rPr>
          <w:rFonts w:hint="eastAsia" w:eastAsiaTheme="minorEastAsia"/>
          <w:color w:val="auto"/>
          <w:szCs w:val="24"/>
        </w:rPr>
      </w:pPr>
      <w:r>
        <w:rPr>
          <w:color w:val="auto"/>
          <w:kern w:val="0"/>
          <w:lang w:val="zh-CN"/>
        </w:rPr>
        <w:t>优化了</w:t>
      </w:r>
      <w:r>
        <w:rPr>
          <w:rFonts w:hint="eastAsia"/>
          <w:color w:val="auto"/>
          <w:kern w:val="0"/>
          <w:lang w:val="zh-CN"/>
        </w:rPr>
        <w:t>铁路</w:t>
      </w:r>
      <w:r>
        <w:rPr>
          <w:color w:val="auto"/>
          <w:kern w:val="0"/>
          <w:lang w:val="zh-CN"/>
        </w:rPr>
        <w:t>隧道</w:t>
      </w:r>
      <w:r>
        <w:rPr>
          <w:rFonts w:hint="eastAsia" w:eastAsiaTheme="minorEastAsia"/>
          <w:color w:val="auto"/>
          <w:szCs w:val="24"/>
        </w:rPr>
        <w:t>湿喷混凝土</w:t>
      </w:r>
      <w:r>
        <w:rPr>
          <w:color w:val="auto"/>
          <w:kern w:val="0"/>
          <w:lang w:val="zh-CN"/>
        </w:rPr>
        <w:t>施工机械化配置方案和原则</w:t>
      </w:r>
      <w:r>
        <w:rPr>
          <w:rFonts w:hint="eastAsia"/>
          <w:color w:val="auto"/>
          <w:kern w:val="0"/>
          <w:lang w:val="zh-CN"/>
        </w:rPr>
        <w:t>，</w:t>
      </w:r>
      <w:r>
        <w:rPr>
          <w:rFonts w:hint="eastAsia" w:eastAsiaTheme="minorEastAsia"/>
          <w:color w:val="auto"/>
          <w:szCs w:val="24"/>
        </w:rPr>
        <w:t>提高了湿喷混凝土制备效率。</w:t>
      </w:r>
    </w:p>
    <w:p>
      <w:pPr>
        <w:pStyle w:val="178"/>
        <w:numPr>
          <w:ilvl w:val="0"/>
          <w:numId w:val="3"/>
        </w:numPr>
        <w:spacing w:line="400" w:lineRule="atLeast"/>
        <w:rPr>
          <w:rFonts w:hint="eastAsia" w:eastAsiaTheme="minorEastAsia"/>
          <w:color w:val="auto"/>
          <w:szCs w:val="24"/>
        </w:rPr>
      </w:pPr>
      <w:r>
        <w:rPr>
          <w:color w:val="auto"/>
        </w:rPr>
        <w:t>规范了</w:t>
      </w:r>
      <w:r>
        <w:rPr>
          <w:rFonts w:hint="eastAsia"/>
          <w:color w:val="auto"/>
          <w:kern w:val="0"/>
          <w:lang w:val="zh-CN"/>
        </w:rPr>
        <w:t>铁路</w:t>
      </w:r>
      <w:r>
        <w:rPr>
          <w:color w:val="auto"/>
          <w:kern w:val="0"/>
          <w:lang w:val="zh-CN"/>
        </w:rPr>
        <w:t>隧道</w:t>
      </w:r>
      <w:r>
        <w:rPr>
          <w:rFonts w:hint="eastAsia" w:eastAsiaTheme="minorEastAsia"/>
          <w:color w:val="auto"/>
          <w:szCs w:val="24"/>
        </w:rPr>
        <w:t>湿喷混凝土</w:t>
      </w:r>
      <w:r>
        <w:rPr>
          <w:color w:val="auto"/>
        </w:rPr>
        <w:t>各工序的质量控制标准。</w:t>
      </w:r>
    </w:p>
    <w:p>
      <w:pPr>
        <w:spacing w:line="400" w:lineRule="atLeast"/>
        <w:ind w:firstLine="420"/>
        <w:rPr>
          <w:rFonts w:eastAsiaTheme="minorEastAsia"/>
          <w:color w:val="auto"/>
          <w:szCs w:val="24"/>
        </w:rPr>
      </w:pPr>
      <w:r>
        <w:rPr>
          <w:rFonts w:hint="eastAsia" w:eastAsiaTheme="minorEastAsia"/>
          <w:color w:val="auto"/>
          <w:szCs w:val="24"/>
        </w:rPr>
        <w:t>本规程系首次编制。</w:t>
      </w:r>
      <w:r>
        <w:rPr>
          <w:rFonts w:eastAsiaTheme="minorEastAsia"/>
          <w:color w:val="auto"/>
          <w:szCs w:val="24"/>
        </w:rPr>
        <w:t>希望各单位在执行过程中，结合工程实践，认真总结经验，积累资料。如发现有需要修改和补充之处，请及时将意见及有关资料寄交武九铁路客运专线湖北有限</w:t>
      </w:r>
      <w:r>
        <w:rPr>
          <w:rFonts w:hint="eastAsia" w:eastAsiaTheme="minorEastAsia"/>
          <w:color w:val="auto"/>
          <w:szCs w:val="24"/>
        </w:rPr>
        <w:t>责任</w:t>
      </w:r>
      <w:r>
        <w:rPr>
          <w:rFonts w:eastAsiaTheme="minorEastAsia"/>
          <w:color w:val="auto"/>
          <w:szCs w:val="24"/>
        </w:rPr>
        <w:t>公司（湖北省武汉市江夏区文化大道</w:t>
      </w:r>
      <w:r>
        <w:rPr>
          <w:rFonts w:hint="eastAsia" w:eastAsiaTheme="minorEastAsia"/>
          <w:color w:val="auto"/>
          <w:szCs w:val="24"/>
        </w:rPr>
        <w:t>399号</w:t>
      </w:r>
      <w:r>
        <w:rPr>
          <w:rFonts w:eastAsiaTheme="minorEastAsia"/>
          <w:color w:val="auto"/>
          <w:szCs w:val="24"/>
        </w:rPr>
        <w:t>联投大厦18楼，邮政编码：430200），并抄送中国铁路经济规划研究院（北京市海淀区北蜂窝路乙29号，邮编100038），供今后修订时参考。</w:t>
      </w:r>
    </w:p>
    <w:p>
      <w:pPr>
        <w:spacing w:line="400" w:lineRule="atLeast"/>
        <w:ind w:firstLine="420"/>
        <w:rPr>
          <w:rFonts w:eastAsiaTheme="minorEastAsia"/>
          <w:color w:val="auto"/>
          <w:szCs w:val="24"/>
        </w:rPr>
      </w:pPr>
      <w:r>
        <w:rPr>
          <w:rFonts w:eastAsiaTheme="minorEastAsia"/>
          <w:color w:val="auto"/>
          <w:szCs w:val="24"/>
        </w:rPr>
        <w:t>本规范由中国铁路总公司建设管理部负责解释。</w:t>
      </w:r>
    </w:p>
    <w:p>
      <w:pPr>
        <w:spacing w:line="400" w:lineRule="atLeast"/>
        <w:ind w:firstLine="420"/>
        <w:rPr>
          <w:rFonts w:eastAsiaTheme="minorEastAsia"/>
          <w:color w:val="auto"/>
          <w:szCs w:val="24"/>
        </w:rPr>
      </w:pPr>
      <w:r>
        <w:rPr>
          <w:rFonts w:eastAsiaTheme="minorEastAsia"/>
          <w:color w:val="auto"/>
          <w:szCs w:val="24"/>
        </w:rPr>
        <w:t>本规范主编单位：</w:t>
      </w:r>
      <w:r>
        <w:rPr>
          <w:rFonts w:hint="eastAsia" w:eastAsiaTheme="minorEastAsia"/>
          <w:color w:val="auto"/>
          <w:szCs w:val="24"/>
        </w:rPr>
        <w:t>武九铁路客运专线湖北有限责任公司</w:t>
      </w:r>
      <w:r>
        <w:rPr>
          <w:rFonts w:eastAsiaTheme="minorEastAsia"/>
          <w:color w:val="auto"/>
          <w:szCs w:val="24"/>
        </w:rPr>
        <w:t>。</w:t>
      </w:r>
    </w:p>
    <w:p>
      <w:pPr>
        <w:spacing w:line="400" w:lineRule="atLeast"/>
        <w:ind w:firstLine="420"/>
        <w:rPr>
          <w:rFonts w:eastAsiaTheme="minorEastAsia"/>
          <w:color w:val="auto"/>
          <w:szCs w:val="24"/>
        </w:rPr>
      </w:pPr>
      <w:r>
        <w:rPr>
          <w:rFonts w:eastAsiaTheme="minorEastAsia"/>
          <w:color w:val="auto"/>
          <w:szCs w:val="24"/>
        </w:rPr>
        <w:t>参编单位：中国铁路经济规划研究院</w:t>
      </w:r>
      <w:r>
        <w:rPr>
          <w:rFonts w:hint="eastAsia" w:eastAsiaTheme="minorEastAsia"/>
          <w:color w:val="auto"/>
          <w:szCs w:val="24"/>
        </w:rPr>
        <w:t>有限公司</w:t>
      </w:r>
      <w:r>
        <w:rPr>
          <w:rFonts w:eastAsiaTheme="minorEastAsia"/>
          <w:color w:val="auto"/>
          <w:szCs w:val="24"/>
        </w:rPr>
        <w:t xml:space="preserve">、中铁十一局集团有限公司、中铁十二局集团有限公司、中铁一局集团有限公司、中铁五局集团有限公司、中铁隧道局集团有限公司、中国铁建重工集团有限公司。                                                                                                                                                                                                                                                                                                                                                                                                                                                                                                                                                                           </w:t>
      </w:r>
    </w:p>
    <w:p>
      <w:pPr>
        <w:spacing w:line="400" w:lineRule="atLeast"/>
        <w:ind w:firstLine="420"/>
        <w:rPr>
          <w:rFonts w:hint="eastAsia" w:eastAsiaTheme="minorEastAsia"/>
          <w:color w:val="auto"/>
          <w:szCs w:val="24"/>
        </w:rPr>
      </w:pPr>
      <w:r>
        <w:rPr>
          <w:rFonts w:hint="eastAsia" w:eastAsiaTheme="minorEastAsia"/>
          <w:color w:val="auto"/>
          <w:szCs w:val="24"/>
        </w:rPr>
        <w:t>技术总负责人：</w:t>
      </w:r>
    </w:p>
    <w:p>
      <w:pPr>
        <w:spacing w:line="400" w:lineRule="atLeast"/>
        <w:ind w:firstLine="420"/>
        <w:rPr>
          <w:rFonts w:eastAsiaTheme="minorEastAsia"/>
          <w:color w:val="auto"/>
          <w:szCs w:val="24"/>
        </w:rPr>
      </w:pPr>
      <w:r>
        <w:rPr>
          <w:rFonts w:eastAsiaTheme="minorEastAsia"/>
          <w:color w:val="auto"/>
          <w:szCs w:val="24"/>
        </w:rPr>
        <w:t xml:space="preserve">主要起草人员： </w:t>
      </w:r>
    </w:p>
    <w:p>
      <w:pPr>
        <w:spacing w:line="400" w:lineRule="atLeast"/>
        <w:ind w:firstLine="420"/>
        <w:rPr>
          <w:color w:val="auto"/>
        </w:rPr>
      </w:pPr>
      <w:r>
        <w:rPr>
          <w:rFonts w:eastAsiaTheme="minorEastAsia"/>
          <w:color w:val="auto"/>
          <w:szCs w:val="24"/>
        </w:rPr>
        <w:t>主要审查人员：</w:t>
      </w:r>
    </w:p>
    <w:p>
      <w:pPr>
        <w:jc w:val="center"/>
        <w:rPr>
          <w:color w:val="auto"/>
          <w:sz w:val="44"/>
          <w:szCs w:val="44"/>
        </w:rPr>
      </w:pPr>
    </w:p>
    <w:p>
      <w:pPr>
        <w:ind w:firstLine="480"/>
        <w:rPr>
          <w:color w:val="auto"/>
        </w:rPr>
      </w:pPr>
    </w:p>
    <w:p>
      <w:pPr>
        <w:ind w:firstLine="480"/>
        <w:rPr>
          <w:color w:val="auto"/>
        </w:rPr>
      </w:pPr>
    </w:p>
    <w:p>
      <w:pPr>
        <w:ind w:firstLine="480"/>
        <w:rPr>
          <w:color w:val="auto"/>
        </w:rPr>
      </w:pPr>
    </w:p>
    <w:p>
      <w:pPr>
        <w:ind w:firstLine="480"/>
        <w:rPr>
          <w:color w:val="auto"/>
        </w:rPr>
      </w:pPr>
    </w:p>
    <w:p>
      <w:pPr>
        <w:ind w:firstLine="480"/>
        <w:rPr>
          <w:color w:val="auto"/>
        </w:rPr>
      </w:pPr>
    </w:p>
    <w:p>
      <w:pPr>
        <w:widowControl/>
        <w:spacing w:line="240" w:lineRule="auto"/>
        <w:jc w:val="left"/>
        <w:rPr>
          <w:color w:val="auto"/>
        </w:rPr>
      </w:pPr>
      <w:r>
        <w:rPr>
          <w:color w:val="auto"/>
        </w:rPr>
        <w:br w:type="page"/>
      </w:r>
    </w:p>
    <w:p>
      <w:pPr>
        <w:pageBreakBefore/>
        <w:spacing w:before="156" w:beforeLines="50" w:after="312" w:afterLines="100" w:line="578" w:lineRule="auto"/>
        <w:jc w:val="center"/>
        <w:rPr>
          <w:b/>
          <w:color w:val="auto"/>
          <w:sz w:val="30"/>
          <w:szCs w:val="30"/>
        </w:rPr>
      </w:pPr>
      <w:r>
        <w:rPr>
          <w:b/>
          <w:color w:val="auto"/>
          <w:sz w:val="30"/>
          <w:szCs w:val="30"/>
        </w:rPr>
        <w:t>目  次</w:t>
      </w:r>
    </w:p>
    <w:p>
      <w:pPr>
        <w:pStyle w:val="29"/>
        <w:rPr>
          <w:rFonts w:asciiTheme="minorHAnsi" w:hAnsiTheme="minorHAnsi" w:eastAsiaTheme="minorEastAsia" w:cstheme="minorBidi"/>
          <w:b w:val="0"/>
          <w:color w:val="auto"/>
          <w:sz w:val="21"/>
        </w:rPr>
      </w:pPr>
      <w:r>
        <w:rPr>
          <w:color w:val="auto"/>
          <w:sz w:val="21"/>
          <w:szCs w:val="21"/>
        </w:rPr>
        <w:fldChar w:fldCharType="begin"/>
      </w:r>
      <w:r>
        <w:rPr>
          <w:color w:val="auto"/>
          <w:sz w:val="21"/>
          <w:szCs w:val="21"/>
        </w:rPr>
        <w:instrText xml:space="preserve"> TOC \o "1-3" \h \z \u </w:instrText>
      </w:r>
      <w:r>
        <w:rPr>
          <w:color w:val="auto"/>
          <w:sz w:val="21"/>
          <w:szCs w:val="21"/>
        </w:rPr>
        <w:fldChar w:fldCharType="separate"/>
      </w:r>
      <w:r>
        <w:rPr>
          <w:color w:val="auto"/>
        </w:rPr>
        <w:fldChar w:fldCharType="begin"/>
      </w:r>
      <w:r>
        <w:rPr>
          <w:color w:val="auto"/>
        </w:rPr>
        <w:instrText xml:space="preserve"> HYPERLINK \l "_Toc1658221" </w:instrText>
      </w:r>
      <w:r>
        <w:rPr>
          <w:color w:val="auto"/>
        </w:rPr>
        <w:fldChar w:fldCharType="separate"/>
      </w:r>
      <w:r>
        <w:rPr>
          <w:rStyle w:val="41"/>
          <w:rFonts w:eastAsia="黑体"/>
          <w:color w:val="auto"/>
        </w:rPr>
        <w:t xml:space="preserve">1  </w:t>
      </w:r>
      <w:r>
        <w:rPr>
          <w:rStyle w:val="41"/>
          <w:rFonts w:hint="eastAsia" w:eastAsia="黑体"/>
          <w:color w:val="auto"/>
        </w:rPr>
        <w:t>总则</w:t>
      </w:r>
      <w:r>
        <w:rPr>
          <w:color w:val="auto"/>
        </w:rPr>
        <w:tab/>
      </w:r>
      <w:r>
        <w:rPr>
          <w:color w:val="auto"/>
        </w:rPr>
        <w:fldChar w:fldCharType="begin"/>
      </w:r>
      <w:r>
        <w:rPr>
          <w:color w:val="auto"/>
        </w:rPr>
        <w:instrText xml:space="preserve"> PAGEREF _Toc1658221 \h </w:instrText>
      </w:r>
      <w:r>
        <w:rPr>
          <w:color w:val="auto"/>
        </w:rPr>
        <w:fldChar w:fldCharType="separate"/>
      </w:r>
      <w:r>
        <w:rPr>
          <w:color w:val="auto"/>
        </w:rPr>
        <w:t>1</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"_Toc1658222" </w:instrText>
      </w:r>
      <w:r>
        <w:rPr>
          <w:color w:val="auto"/>
        </w:rPr>
        <w:fldChar w:fldCharType="separate"/>
      </w:r>
      <w:r>
        <w:rPr>
          <w:rStyle w:val="41"/>
          <w:rFonts w:eastAsia="黑体"/>
          <w:color w:val="auto"/>
        </w:rPr>
        <w:t xml:space="preserve">2  </w:t>
      </w:r>
      <w:r>
        <w:rPr>
          <w:rStyle w:val="41"/>
          <w:rFonts w:hint="eastAsia" w:eastAsia="黑体"/>
          <w:color w:val="auto"/>
        </w:rPr>
        <w:t>术语和符号</w:t>
      </w:r>
      <w:r>
        <w:rPr>
          <w:color w:val="auto"/>
        </w:rPr>
        <w:tab/>
      </w:r>
      <w:r>
        <w:rPr>
          <w:color w:val="auto"/>
        </w:rPr>
        <w:fldChar w:fldCharType="begin"/>
      </w:r>
      <w:r>
        <w:rPr>
          <w:color w:val="auto"/>
        </w:rPr>
        <w:instrText xml:space="preserve"> PAGEREF _Toc1658222 \h </w:instrText>
      </w:r>
      <w:r>
        <w:rPr>
          <w:color w:val="auto"/>
        </w:rPr>
        <w:fldChar w:fldCharType="separate"/>
      </w:r>
      <w:r>
        <w:rPr>
          <w:color w:val="auto"/>
        </w:rPr>
        <w:t>2</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"_Toc1658223" </w:instrText>
      </w:r>
      <w:r>
        <w:rPr>
          <w:color w:val="auto"/>
        </w:rPr>
        <w:fldChar w:fldCharType="separate"/>
      </w:r>
      <w:r>
        <w:rPr>
          <w:rStyle w:val="41"/>
          <w:rFonts w:eastAsia="黑体"/>
          <w:color w:val="auto"/>
        </w:rPr>
        <w:t xml:space="preserve">2.1  </w:t>
      </w:r>
      <w:r>
        <w:rPr>
          <w:rStyle w:val="41"/>
          <w:rFonts w:hint="eastAsia" w:eastAsia="黑体"/>
          <w:color w:val="auto"/>
        </w:rPr>
        <w:t>术语</w:t>
      </w:r>
      <w:r>
        <w:rPr>
          <w:color w:val="auto"/>
        </w:rPr>
        <w:tab/>
      </w:r>
      <w:r>
        <w:rPr>
          <w:color w:val="auto"/>
        </w:rPr>
        <w:fldChar w:fldCharType="begin"/>
      </w:r>
      <w:r>
        <w:rPr>
          <w:color w:val="auto"/>
        </w:rPr>
        <w:instrText xml:space="preserve"> PAGEREF _Toc1658223 \h </w:instrText>
      </w:r>
      <w:r>
        <w:rPr>
          <w:color w:val="auto"/>
        </w:rPr>
        <w:fldChar w:fldCharType="separate"/>
      </w:r>
      <w:r>
        <w:rPr>
          <w:color w:val="auto"/>
        </w:rPr>
        <w:t>2</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"_Toc1658224" </w:instrText>
      </w:r>
      <w:r>
        <w:rPr>
          <w:color w:val="auto"/>
        </w:rPr>
        <w:fldChar w:fldCharType="separate"/>
      </w:r>
      <w:r>
        <w:rPr>
          <w:rStyle w:val="41"/>
          <w:rFonts w:eastAsia="黑体"/>
          <w:color w:val="auto"/>
        </w:rPr>
        <w:t xml:space="preserve">2.2  </w:t>
      </w:r>
      <w:r>
        <w:rPr>
          <w:rStyle w:val="41"/>
          <w:rFonts w:hint="eastAsia" w:eastAsia="黑体"/>
          <w:color w:val="auto"/>
        </w:rPr>
        <w:t>符号</w:t>
      </w:r>
      <w:r>
        <w:rPr>
          <w:color w:val="auto"/>
        </w:rPr>
        <w:tab/>
      </w:r>
      <w:r>
        <w:rPr>
          <w:color w:val="auto"/>
        </w:rPr>
        <w:fldChar w:fldCharType="begin"/>
      </w:r>
      <w:r>
        <w:rPr>
          <w:color w:val="auto"/>
        </w:rPr>
        <w:instrText xml:space="preserve"> PAGEREF _Toc1658224 \h </w:instrText>
      </w:r>
      <w:r>
        <w:rPr>
          <w:color w:val="auto"/>
        </w:rPr>
        <w:fldChar w:fldCharType="separate"/>
      </w:r>
      <w:r>
        <w:rPr>
          <w:color w:val="auto"/>
        </w:rPr>
        <w:t>2</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"_Toc1658225" </w:instrText>
      </w:r>
      <w:r>
        <w:rPr>
          <w:color w:val="auto"/>
        </w:rPr>
        <w:fldChar w:fldCharType="separate"/>
      </w:r>
      <w:r>
        <w:rPr>
          <w:rStyle w:val="41"/>
          <w:rFonts w:eastAsia="黑体"/>
          <w:color w:val="auto"/>
        </w:rPr>
        <w:t xml:space="preserve">3 </w:t>
      </w:r>
      <w:r>
        <w:rPr>
          <w:rStyle w:val="41"/>
          <w:rFonts w:hint="eastAsia" w:eastAsia="黑体"/>
          <w:color w:val="auto"/>
        </w:rPr>
        <w:t>基本规定</w:t>
      </w:r>
      <w:r>
        <w:rPr>
          <w:color w:val="auto"/>
        </w:rPr>
        <w:tab/>
      </w:r>
      <w:r>
        <w:rPr>
          <w:color w:val="auto"/>
        </w:rPr>
        <w:fldChar w:fldCharType="begin"/>
      </w:r>
      <w:r>
        <w:rPr>
          <w:color w:val="auto"/>
        </w:rPr>
        <w:instrText xml:space="preserve"> PAGEREF _Toc1658225 \h </w:instrText>
      </w:r>
      <w:r>
        <w:rPr>
          <w:color w:val="auto"/>
        </w:rPr>
        <w:fldChar w:fldCharType="separate"/>
      </w:r>
      <w:r>
        <w:rPr>
          <w:color w:val="auto"/>
        </w:rPr>
        <w:t>4</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"_Toc1658226" </w:instrText>
      </w:r>
      <w:r>
        <w:rPr>
          <w:color w:val="auto"/>
        </w:rPr>
        <w:fldChar w:fldCharType="separate"/>
      </w:r>
      <w:r>
        <w:rPr>
          <w:rStyle w:val="41"/>
          <w:rFonts w:eastAsia="黑体"/>
          <w:color w:val="auto"/>
        </w:rPr>
        <w:t xml:space="preserve">3.1  </w:t>
      </w:r>
      <w:r>
        <w:rPr>
          <w:rStyle w:val="41"/>
          <w:rFonts w:hint="eastAsia" w:eastAsia="黑体"/>
          <w:color w:val="auto"/>
        </w:rPr>
        <w:t>一般规定</w:t>
      </w:r>
      <w:r>
        <w:rPr>
          <w:color w:val="auto"/>
        </w:rPr>
        <w:tab/>
      </w:r>
      <w:r>
        <w:rPr>
          <w:color w:val="auto"/>
        </w:rPr>
        <w:fldChar w:fldCharType="begin"/>
      </w:r>
      <w:r>
        <w:rPr>
          <w:color w:val="auto"/>
        </w:rPr>
        <w:instrText xml:space="preserve"> PAGEREF _Toc1658226 \h </w:instrText>
      </w:r>
      <w:r>
        <w:rPr>
          <w:color w:val="auto"/>
        </w:rPr>
        <w:fldChar w:fldCharType="separate"/>
      </w:r>
      <w:r>
        <w:rPr>
          <w:color w:val="auto"/>
        </w:rPr>
        <w:t>4</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"_Toc1658227" </w:instrText>
      </w:r>
      <w:r>
        <w:rPr>
          <w:color w:val="auto"/>
        </w:rPr>
        <w:fldChar w:fldCharType="separate"/>
      </w:r>
      <w:r>
        <w:rPr>
          <w:rStyle w:val="41"/>
          <w:rFonts w:eastAsia="黑体"/>
          <w:color w:val="auto"/>
        </w:rPr>
        <w:t xml:space="preserve">3.2  </w:t>
      </w:r>
      <w:r>
        <w:rPr>
          <w:rStyle w:val="41"/>
          <w:rFonts w:hint="eastAsia" w:eastAsia="黑体"/>
          <w:color w:val="auto"/>
        </w:rPr>
        <w:t>建设管理要求</w:t>
      </w:r>
      <w:r>
        <w:rPr>
          <w:color w:val="auto"/>
        </w:rPr>
        <w:tab/>
      </w:r>
      <w:r>
        <w:rPr>
          <w:color w:val="auto"/>
        </w:rPr>
        <w:fldChar w:fldCharType="begin"/>
      </w:r>
      <w:r>
        <w:rPr>
          <w:color w:val="auto"/>
        </w:rPr>
        <w:instrText xml:space="preserve"> PAGEREF _Toc1658227 \h </w:instrText>
      </w:r>
      <w:r>
        <w:rPr>
          <w:color w:val="auto"/>
        </w:rPr>
        <w:fldChar w:fldCharType="separate"/>
      </w:r>
      <w:r>
        <w:rPr>
          <w:color w:val="auto"/>
        </w:rPr>
        <w:t>4</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"_Toc1658228" </w:instrText>
      </w:r>
      <w:r>
        <w:rPr>
          <w:color w:val="auto"/>
        </w:rPr>
        <w:fldChar w:fldCharType="separate"/>
      </w:r>
      <w:r>
        <w:rPr>
          <w:rStyle w:val="41"/>
          <w:rFonts w:eastAsia="黑体"/>
          <w:color w:val="auto"/>
        </w:rPr>
        <w:t xml:space="preserve">3.3  </w:t>
      </w:r>
      <w:r>
        <w:rPr>
          <w:rStyle w:val="41"/>
          <w:rFonts w:hint="eastAsia" w:eastAsia="黑体"/>
          <w:color w:val="auto"/>
        </w:rPr>
        <w:t>四化要求</w:t>
      </w:r>
      <w:r>
        <w:rPr>
          <w:color w:val="auto"/>
        </w:rPr>
        <w:tab/>
      </w:r>
      <w:r>
        <w:rPr>
          <w:color w:val="auto"/>
        </w:rPr>
        <w:fldChar w:fldCharType="begin"/>
      </w:r>
      <w:r>
        <w:rPr>
          <w:color w:val="auto"/>
        </w:rPr>
        <w:instrText xml:space="preserve"> PAGEREF _Toc1658228 \h </w:instrText>
      </w:r>
      <w:r>
        <w:rPr>
          <w:color w:val="auto"/>
        </w:rPr>
        <w:fldChar w:fldCharType="separate"/>
      </w:r>
      <w:r>
        <w:rPr>
          <w:color w:val="auto"/>
        </w:rPr>
        <w:t>5</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"_Toc1658229" </w:instrText>
      </w:r>
      <w:r>
        <w:rPr>
          <w:color w:val="auto"/>
        </w:rPr>
        <w:fldChar w:fldCharType="separate"/>
      </w:r>
      <w:r>
        <w:rPr>
          <w:rStyle w:val="41"/>
          <w:rFonts w:eastAsia="黑体"/>
          <w:color w:val="auto"/>
        </w:rPr>
        <w:t xml:space="preserve">4  </w:t>
      </w:r>
      <w:r>
        <w:rPr>
          <w:rStyle w:val="41"/>
          <w:rFonts w:hint="eastAsia" w:eastAsia="黑体"/>
          <w:color w:val="auto"/>
        </w:rPr>
        <w:t>原材料</w:t>
      </w:r>
      <w:r>
        <w:rPr>
          <w:color w:val="auto"/>
        </w:rPr>
        <w:tab/>
      </w:r>
      <w:r>
        <w:rPr>
          <w:color w:val="auto"/>
        </w:rPr>
        <w:fldChar w:fldCharType="begin"/>
      </w:r>
      <w:r>
        <w:rPr>
          <w:color w:val="auto"/>
        </w:rPr>
        <w:instrText xml:space="preserve"> PAGEREF _Toc1658229 \h </w:instrText>
      </w:r>
      <w:r>
        <w:rPr>
          <w:color w:val="auto"/>
        </w:rPr>
        <w:fldChar w:fldCharType="separate"/>
      </w:r>
      <w:r>
        <w:rPr>
          <w:color w:val="auto"/>
        </w:rPr>
        <w:t>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"_Toc1658230" </w:instrText>
      </w:r>
      <w:r>
        <w:rPr>
          <w:color w:val="auto"/>
        </w:rPr>
        <w:fldChar w:fldCharType="separate"/>
      </w:r>
      <w:r>
        <w:rPr>
          <w:rStyle w:val="41"/>
          <w:rFonts w:eastAsia="黑体"/>
          <w:color w:val="auto"/>
        </w:rPr>
        <w:t xml:space="preserve">4.1  </w:t>
      </w:r>
      <w:r>
        <w:rPr>
          <w:rStyle w:val="41"/>
          <w:rFonts w:hint="eastAsia" w:eastAsia="黑体"/>
          <w:color w:val="auto"/>
        </w:rPr>
        <w:t>胶凝材料</w:t>
      </w:r>
      <w:r>
        <w:rPr>
          <w:color w:val="auto"/>
        </w:rPr>
        <w:tab/>
      </w:r>
      <w:r>
        <w:rPr>
          <w:color w:val="auto"/>
        </w:rPr>
        <w:fldChar w:fldCharType="begin"/>
      </w:r>
      <w:r>
        <w:rPr>
          <w:color w:val="auto"/>
        </w:rPr>
        <w:instrText xml:space="preserve"> PAGEREF _Toc1658230 \h </w:instrText>
      </w:r>
      <w:r>
        <w:rPr>
          <w:color w:val="auto"/>
        </w:rPr>
        <w:fldChar w:fldCharType="separate"/>
      </w:r>
      <w:r>
        <w:rPr>
          <w:color w:val="auto"/>
        </w:rPr>
        <w:t>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"_Toc1658231" </w:instrText>
      </w:r>
      <w:r>
        <w:rPr>
          <w:color w:val="auto"/>
        </w:rPr>
        <w:fldChar w:fldCharType="separate"/>
      </w:r>
      <w:r>
        <w:rPr>
          <w:rStyle w:val="41"/>
          <w:rFonts w:eastAsia="黑体"/>
          <w:color w:val="auto"/>
        </w:rPr>
        <w:t xml:space="preserve">4.2  </w:t>
      </w:r>
      <w:r>
        <w:rPr>
          <w:rStyle w:val="41"/>
          <w:rFonts w:hint="eastAsia" w:eastAsia="黑体"/>
          <w:color w:val="auto"/>
        </w:rPr>
        <w:t>骨料</w:t>
      </w:r>
      <w:r>
        <w:rPr>
          <w:color w:val="auto"/>
        </w:rPr>
        <w:tab/>
      </w:r>
      <w:r>
        <w:rPr>
          <w:color w:val="auto"/>
        </w:rPr>
        <w:fldChar w:fldCharType="begin"/>
      </w:r>
      <w:r>
        <w:rPr>
          <w:color w:val="auto"/>
        </w:rPr>
        <w:instrText xml:space="preserve"> PAGEREF _Toc1658231 \h </w:instrText>
      </w:r>
      <w:r>
        <w:rPr>
          <w:color w:val="auto"/>
        </w:rPr>
        <w:fldChar w:fldCharType="separate"/>
      </w:r>
      <w:r>
        <w:rPr>
          <w:color w:val="auto"/>
        </w:rPr>
        <w:t>8</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"_Toc1658232" </w:instrText>
      </w:r>
      <w:r>
        <w:rPr>
          <w:color w:val="auto"/>
        </w:rPr>
        <w:fldChar w:fldCharType="separate"/>
      </w:r>
      <w:r>
        <w:rPr>
          <w:rStyle w:val="41"/>
          <w:rFonts w:eastAsia="黑体"/>
          <w:color w:val="auto"/>
        </w:rPr>
        <w:t xml:space="preserve">4.3 </w:t>
      </w:r>
      <w:r>
        <w:rPr>
          <w:rStyle w:val="41"/>
          <w:rFonts w:hint="eastAsia" w:eastAsia="黑体"/>
          <w:color w:val="auto"/>
        </w:rPr>
        <w:t>外加剂</w:t>
      </w:r>
      <w:r>
        <w:rPr>
          <w:color w:val="auto"/>
        </w:rPr>
        <w:tab/>
      </w:r>
      <w:r>
        <w:rPr>
          <w:color w:val="auto"/>
        </w:rPr>
        <w:fldChar w:fldCharType="begin"/>
      </w:r>
      <w:r>
        <w:rPr>
          <w:color w:val="auto"/>
        </w:rPr>
        <w:instrText xml:space="preserve"> PAGEREF _Toc1658232 \h </w:instrText>
      </w:r>
      <w:r>
        <w:rPr>
          <w:color w:val="auto"/>
        </w:rPr>
        <w:fldChar w:fldCharType="separate"/>
      </w:r>
      <w:r>
        <w:rPr>
          <w:color w:val="auto"/>
        </w:rPr>
        <w:t>11</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"_Toc1658233" </w:instrText>
      </w:r>
      <w:r>
        <w:rPr>
          <w:color w:val="auto"/>
        </w:rPr>
        <w:fldChar w:fldCharType="separate"/>
      </w:r>
      <w:r>
        <w:rPr>
          <w:rStyle w:val="41"/>
          <w:rFonts w:eastAsia="黑体"/>
          <w:color w:val="auto"/>
        </w:rPr>
        <w:t xml:space="preserve">4.4  </w:t>
      </w:r>
      <w:r>
        <w:rPr>
          <w:rStyle w:val="41"/>
          <w:rFonts w:hint="eastAsia" w:eastAsia="黑体"/>
          <w:color w:val="auto"/>
        </w:rPr>
        <w:t>纤维</w:t>
      </w:r>
      <w:r>
        <w:rPr>
          <w:color w:val="auto"/>
        </w:rPr>
        <w:tab/>
      </w:r>
      <w:r>
        <w:rPr>
          <w:color w:val="auto"/>
        </w:rPr>
        <w:fldChar w:fldCharType="begin"/>
      </w:r>
      <w:r>
        <w:rPr>
          <w:color w:val="auto"/>
        </w:rPr>
        <w:instrText xml:space="preserve"> PAGEREF _Toc1658233 \h </w:instrText>
      </w:r>
      <w:r>
        <w:rPr>
          <w:color w:val="auto"/>
        </w:rPr>
        <w:fldChar w:fldCharType="separate"/>
      </w:r>
      <w:r>
        <w:rPr>
          <w:color w:val="auto"/>
        </w:rPr>
        <w:t>14</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"_Toc1658234" </w:instrText>
      </w:r>
      <w:r>
        <w:rPr>
          <w:color w:val="auto"/>
        </w:rPr>
        <w:fldChar w:fldCharType="separate"/>
      </w:r>
      <w:r>
        <w:rPr>
          <w:rStyle w:val="41"/>
          <w:rFonts w:eastAsia="黑体"/>
          <w:color w:val="auto"/>
        </w:rPr>
        <w:t xml:space="preserve">4.5 </w:t>
      </w:r>
      <w:r>
        <w:rPr>
          <w:rStyle w:val="41"/>
          <w:rFonts w:hint="eastAsia" w:eastAsia="黑体"/>
          <w:color w:val="auto"/>
        </w:rPr>
        <w:t>拌和水</w:t>
      </w:r>
      <w:r>
        <w:rPr>
          <w:color w:val="auto"/>
        </w:rPr>
        <w:tab/>
      </w:r>
      <w:r>
        <w:rPr>
          <w:color w:val="auto"/>
        </w:rPr>
        <w:fldChar w:fldCharType="begin"/>
      </w:r>
      <w:r>
        <w:rPr>
          <w:color w:val="auto"/>
        </w:rPr>
        <w:instrText xml:space="preserve"> PAGEREF _Toc1658234 \h </w:instrText>
      </w:r>
      <w:r>
        <w:rPr>
          <w:color w:val="auto"/>
        </w:rPr>
        <w:fldChar w:fldCharType="separate"/>
      </w:r>
      <w:r>
        <w:rPr>
          <w:color w:val="auto"/>
        </w:rPr>
        <w:t>15</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"_Toc1658235" </w:instrText>
      </w:r>
      <w:r>
        <w:rPr>
          <w:color w:val="auto"/>
        </w:rPr>
        <w:fldChar w:fldCharType="separate"/>
      </w:r>
      <w:r>
        <w:rPr>
          <w:rStyle w:val="41"/>
          <w:rFonts w:eastAsia="黑体"/>
          <w:color w:val="auto"/>
        </w:rPr>
        <w:t xml:space="preserve">5  </w:t>
      </w:r>
      <w:r>
        <w:rPr>
          <w:rStyle w:val="41"/>
          <w:rFonts w:hint="eastAsia" w:eastAsia="黑体"/>
          <w:color w:val="auto"/>
        </w:rPr>
        <w:t>湿喷混凝土配合比设计及性能</w:t>
      </w:r>
      <w:r>
        <w:rPr>
          <w:color w:val="auto"/>
        </w:rPr>
        <w:tab/>
      </w:r>
      <w:r>
        <w:rPr>
          <w:color w:val="auto"/>
        </w:rPr>
        <w:fldChar w:fldCharType="begin"/>
      </w:r>
      <w:r>
        <w:rPr>
          <w:color w:val="auto"/>
        </w:rPr>
        <w:instrText xml:space="preserve"> PAGEREF _Toc1658235 \h </w:instrText>
      </w:r>
      <w:r>
        <w:rPr>
          <w:color w:val="auto"/>
        </w:rPr>
        <w:fldChar w:fldCharType="separate"/>
      </w:r>
      <w:r>
        <w:rPr>
          <w:color w:val="auto"/>
        </w:rPr>
        <w:t>16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"_Toc1658236" </w:instrText>
      </w:r>
      <w:r>
        <w:rPr>
          <w:color w:val="auto"/>
        </w:rPr>
        <w:fldChar w:fldCharType="separate"/>
      </w:r>
      <w:r>
        <w:rPr>
          <w:rStyle w:val="41"/>
          <w:rFonts w:eastAsia="黑体"/>
          <w:color w:val="auto"/>
        </w:rPr>
        <w:t xml:space="preserve">5.1  </w:t>
      </w:r>
      <w:r>
        <w:rPr>
          <w:rStyle w:val="41"/>
          <w:rFonts w:hint="eastAsia" w:eastAsia="黑体"/>
          <w:color w:val="auto"/>
        </w:rPr>
        <w:t>一般规定</w:t>
      </w:r>
      <w:r>
        <w:rPr>
          <w:color w:val="auto"/>
        </w:rPr>
        <w:tab/>
      </w:r>
      <w:r>
        <w:rPr>
          <w:color w:val="auto"/>
        </w:rPr>
        <w:fldChar w:fldCharType="begin"/>
      </w:r>
      <w:r>
        <w:rPr>
          <w:color w:val="auto"/>
        </w:rPr>
        <w:instrText xml:space="preserve"> PAGEREF _Toc1658236 \h </w:instrText>
      </w:r>
      <w:r>
        <w:rPr>
          <w:color w:val="auto"/>
        </w:rPr>
        <w:fldChar w:fldCharType="separate"/>
      </w:r>
      <w:r>
        <w:rPr>
          <w:color w:val="auto"/>
        </w:rPr>
        <w:t>16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"_Toc1658237" </w:instrText>
      </w:r>
      <w:r>
        <w:rPr>
          <w:color w:val="auto"/>
        </w:rPr>
        <w:fldChar w:fldCharType="separate"/>
      </w:r>
      <w:r>
        <w:rPr>
          <w:rStyle w:val="41"/>
          <w:rFonts w:eastAsia="黑体"/>
          <w:color w:val="auto"/>
        </w:rPr>
        <w:t xml:space="preserve">5.2  </w:t>
      </w:r>
      <w:r>
        <w:rPr>
          <w:rStyle w:val="41"/>
          <w:rFonts w:hint="eastAsia" w:eastAsia="黑体"/>
          <w:color w:val="auto"/>
        </w:rPr>
        <w:t>湿喷混凝土性能</w:t>
      </w:r>
      <w:r>
        <w:rPr>
          <w:color w:val="auto"/>
        </w:rPr>
        <w:tab/>
      </w:r>
      <w:r>
        <w:rPr>
          <w:color w:val="auto"/>
        </w:rPr>
        <w:fldChar w:fldCharType="begin"/>
      </w:r>
      <w:r>
        <w:rPr>
          <w:color w:val="auto"/>
        </w:rPr>
        <w:instrText xml:space="preserve"> PAGEREF _Toc1658237 \h </w:instrText>
      </w:r>
      <w:r>
        <w:rPr>
          <w:color w:val="auto"/>
        </w:rPr>
        <w:fldChar w:fldCharType="separate"/>
      </w:r>
      <w:r>
        <w:rPr>
          <w:color w:val="auto"/>
        </w:rPr>
        <w:t>16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"_Toc1658238" </w:instrText>
      </w:r>
      <w:r>
        <w:rPr>
          <w:color w:val="auto"/>
        </w:rPr>
        <w:fldChar w:fldCharType="separate"/>
      </w:r>
      <w:r>
        <w:rPr>
          <w:rStyle w:val="41"/>
          <w:rFonts w:eastAsia="黑体"/>
          <w:color w:val="auto"/>
        </w:rPr>
        <w:t xml:space="preserve">5.3  </w:t>
      </w:r>
      <w:r>
        <w:rPr>
          <w:rStyle w:val="41"/>
          <w:rFonts w:hint="eastAsia" w:eastAsia="黑体"/>
          <w:color w:val="auto"/>
        </w:rPr>
        <w:t>湿喷混凝土配合比设计</w:t>
      </w:r>
      <w:r>
        <w:rPr>
          <w:color w:val="auto"/>
        </w:rPr>
        <w:tab/>
      </w:r>
      <w:r>
        <w:rPr>
          <w:color w:val="auto"/>
        </w:rPr>
        <w:fldChar w:fldCharType="begin"/>
      </w:r>
      <w:r>
        <w:rPr>
          <w:color w:val="auto"/>
        </w:rPr>
        <w:instrText xml:space="preserve"> PAGEREF _Toc1658238 \h </w:instrText>
      </w:r>
      <w:r>
        <w:rPr>
          <w:color w:val="auto"/>
        </w:rPr>
        <w:fldChar w:fldCharType="separate"/>
      </w:r>
      <w:r>
        <w:rPr>
          <w:color w:val="auto"/>
        </w:rPr>
        <w:t>17</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"_Toc1658239" </w:instrText>
      </w:r>
      <w:r>
        <w:rPr>
          <w:color w:val="auto"/>
        </w:rPr>
        <w:fldChar w:fldCharType="separate"/>
      </w:r>
      <w:r>
        <w:rPr>
          <w:rStyle w:val="41"/>
          <w:rFonts w:eastAsia="黑体"/>
          <w:color w:val="auto"/>
        </w:rPr>
        <w:t xml:space="preserve">5.4  </w:t>
      </w:r>
      <w:r>
        <w:rPr>
          <w:rStyle w:val="41"/>
          <w:rFonts w:hint="eastAsia" w:eastAsia="黑体"/>
          <w:color w:val="auto"/>
        </w:rPr>
        <w:t>配合比试配、试喷、调整与确定</w:t>
      </w:r>
      <w:r>
        <w:rPr>
          <w:color w:val="auto"/>
        </w:rPr>
        <w:tab/>
      </w:r>
      <w:r>
        <w:rPr>
          <w:color w:val="auto"/>
        </w:rPr>
        <w:fldChar w:fldCharType="begin"/>
      </w:r>
      <w:r>
        <w:rPr>
          <w:color w:val="auto"/>
        </w:rPr>
        <w:instrText xml:space="preserve"> PAGEREF _Toc1658239 \h </w:instrText>
      </w:r>
      <w:r>
        <w:rPr>
          <w:color w:val="auto"/>
        </w:rPr>
        <w:fldChar w:fldCharType="separate"/>
      </w:r>
      <w:r>
        <w:rPr>
          <w:color w:val="auto"/>
        </w:rPr>
        <w:t>19</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"_Toc1658240" </w:instrText>
      </w:r>
      <w:r>
        <w:rPr>
          <w:color w:val="auto"/>
        </w:rPr>
        <w:fldChar w:fldCharType="separate"/>
      </w:r>
      <w:r>
        <w:rPr>
          <w:rStyle w:val="41"/>
          <w:rFonts w:eastAsia="黑体"/>
          <w:color w:val="auto"/>
        </w:rPr>
        <w:t xml:space="preserve">5.5  </w:t>
      </w:r>
      <w:r>
        <w:rPr>
          <w:rStyle w:val="41"/>
          <w:rFonts w:hint="eastAsia" w:eastAsia="黑体"/>
          <w:color w:val="auto"/>
        </w:rPr>
        <w:t>高强喷射混凝土</w:t>
      </w:r>
      <w:r>
        <w:rPr>
          <w:color w:val="auto"/>
        </w:rPr>
        <w:tab/>
      </w:r>
      <w:r>
        <w:rPr>
          <w:color w:val="auto"/>
        </w:rPr>
        <w:fldChar w:fldCharType="begin"/>
      </w:r>
      <w:r>
        <w:rPr>
          <w:color w:val="auto"/>
        </w:rPr>
        <w:instrText xml:space="preserve"> PAGEREF _Toc1658240 \h </w:instrText>
      </w:r>
      <w:r>
        <w:rPr>
          <w:color w:val="auto"/>
        </w:rPr>
        <w:fldChar w:fldCharType="separate"/>
      </w:r>
      <w:r>
        <w:rPr>
          <w:color w:val="auto"/>
        </w:rPr>
        <w:t>19</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"_Toc1658241" </w:instrText>
      </w:r>
      <w:r>
        <w:rPr>
          <w:color w:val="auto"/>
        </w:rPr>
        <w:fldChar w:fldCharType="separate"/>
      </w:r>
      <w:r>
        <w:rPr>
          <w:rStyle w:val="41"/>
          <w:rFonts w:eastAsia="黑体"/>
          <w:color w:val="auto"/>
        </w:rPr>
        <w:t xml:space="preserve">6  </w:t>
      </w:r>
      <w:r>
        <w:rPr>
          <w:rStyle w:val="41"/>
          <w:rFonts w:hint="eastAsia" w:eastAsia="黑体"/>
          <w:color w:val="auto"/>
        </w:rPr>
        <w:t>湿喷混凝土的制备与运输</w:t>
      </w:r>
      <w:r>
        <w:rPr>
          <w:color w:val="auto"/>
        </w:rPr>
        <w:tab/>
      </w:r>
      <w:r>
        <w:rPr>
          <w:color w:val="auto"/>
        </w:rPr>
        <w:fldChar w:fldCharType="begin"/>
      </w:r>
      <w:r>
        <w:rPr>
          <w:color w:val="auto"/>
        </w:rPr>
        <w:instrText xml:space="preserve"> PAGEREF _Toc1658241 \h </w:instrText>
      </w:r>
      <w:r>
        <w:rPr>
          <w:color w:val="auto"/>
        </w:rPr>
        <w:fldChar w:fldCharType="separate"/>
      </w:r>
      <w:r>
        <w:rPr>
          <w:color w:val="auto"/>
        </w:rPr>
        <w:t>21</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"_Toc1658242" </w:instrText>
      </w:r>
      <w:r>
        <w:rPr>
          <w:color w:val="auto"/>
        </w:rPr>
        <w:fldChar w:fldCharType="separate"/>
      </w:r>
      <w:r>
        <w:rPr>
          <w:rStyle w:val="41"/>
          <w:rFonts w:eastAsia="黑体"/>
          <w:color w:val="auto"/>
        </w:rPr>
        <w:t xml:space="preserve">6.1  </w:t>
      </w:r>
      <w:r>
        <w:rPr>
          <w:rStyle w:val="41"/>
          <w:rFonts w:hint="eastAsia" w:eastAsia="黑体"/>
          <w:color w:val="auto"/>
        </w:rPr>
        <w:t>一般规定</w:t>
      </w:r>
      <w:r>
        <w:rPr>
          <w:color w:val="auto"/>
        </w:rPr>
        <w:tab/>
      </w:r>
      <w:r>
        <w:rPr>
          <w:color w:val="auto"/>
        </w:rPr>
        <w:fldChar w:fldCharType="begin"/>
      </w:r>
      <w:r>
        <w:rPr>
          <w:color w:val="auto"/>
        </w:rPr>
        <w:instrText xml:space="preserve"> PAGEREF _Toc1658242 \h </w:instrText>
      </w:r>
      <w:r>
        <w:rPr>
          <w:color w:val="auto"/>
        </w:rPr>
        <w:fldChar w:fldCharType="separate"/>
      </w:r>
      <w:r>
        <w:rPr>
          <w:color w:val="auto"/>
        </w:rPr>
        <w:t>21</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"_Toc1658243" </w:instrText>
      </w:r>
      <w:r>
        <w:rPr>
          <w:color w:val="auto"/>
        </w:rPr>
        <w:fldChar w:fldCharType="separate"/>
      </w:r>
      <w:r>
        <w:rPr>
          <w:rStyle w:val="41"/>
          <w:rFonts w:eastAsia="黑体"/>
          <w:color w:val="auto"/>
        </w:rPr>
        <w:t xml:space="preserve">6.2  </w:t>
      </w:r>
      <w:r>
        <w:rPr>
          <w:rStyle w:val="41"/>
          <w:rFonts w:hint="eastAsia" w:eastAsia="黑体"/>
          <w:color w:val="auto"/>
        </w:rPr>
        <w:t>湿喷混凝土制备</w:t>
      </w:r>
      <w:r>
        <w:rPr>
          <w:color w:val="auto"/>
        </w:rPr>
        <w:tab/>
      </w:r>
      <w:r>
        <w:rPr>
          <w:color w:val="auto"/>
        </w:rPr>
        <w:fldChar w:fldCharType="begin"/>
      </w:r>
      <w:r>
        <w:rPr>
          <w:color w:val="auto"/>
        </w:rPr>
        <w:instrText xml:space="preserve"> PAGEREF _Toc1658243 \h </w:instrText>
      </w:r>
      <w:r>
        <w:rPr>
          <w:color w:val="auto"/>
        </w:rPr>
        <w:fldChar w:fldCharType="separate"/>
      </w:r>
      <w:r>
        <w:rPr>
          <w:color w:val="auto"/>
        </w:rPr>
        <w:t>21</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"_Toc1658244" </w:instrText>
      </w:r>
      <w:r>
        <w:rPr>
          <w:color w:val="auto"/>
        </w:rPr>
        <w:fldChar w:fldCharType="separate"/>
      </w:r>
      <w:r>
        <w:rPr>
          <w:rStyle w:val="41"/>
          <w:rFonts w:eastAsia="黑体"/>
          <w:color w:val="auto"/>
        </w:rPr>
        <w:t xml:space="preserve">6.3  </w:t>
      </w:r>
      <w:r>
        <w:rPr>
          <w:rStyle w:val="41"/>
          <w:rFonts w:hint="eastAsia" w:eastAsia="黑体"/>
          <w:color w:val="auto"/>
        </w:rPr>
        <w:t>湿喷混凝土运输</w:t>
      </w:r>
      <w:r>
        <w:rPr>
          <w:color w:val="auto"/>
        </w:rPr>
        <w:tab/>
      </w:r>
      <w:r>
        <w:rPr>
          <w:color w:val="auto"/>
        </w:rPr>
        <w:fldChar w:fldCharType="begin"/>
      </w:r>
      <w:r>
        <w:rPr>
          <w:color w:val="auto"/>
        </w:rPr>
        <w:instrText xml:space="preserve"> PAGEREF _Toc1658244 \h </w:instrText>
      </w:r>
      <w:r>
        <w:rPr>
          <w:color w:val="auto"/>
        </w:rPr>
        <w:fldChar w:fldCharType="separate"/>
      </w:r>
      <w:r>
        <w:rPr>
          <w:color w:val="auto"/>
        </w:rPr>
        <w:t>22</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"_Toc1658245" </w:instrText>
      </w:r>
      <w:r>
        <w:rPr>
          <w:color w:val="auto"/>
        </w:rPr>
        <w:fldChar w:fldCharType="separate"/>
      </w:r>
      <w:r>
        <w:rPr>
          <w:rStyle w:val="41"/>
          <w:rFonts w:eastAsia="黑体"/>
          <w:color w:val="auto"/>
        </w:rPr>
        <w:t xml:space="preserve">7  </w:t>
      </w:r>
      <w:r>
        <w:rPr>
          <w:rStyle w:val="41"/>
          <w:rFonts w:hint="eastAsia" w:eastAsia="黑体"/>
          <w:color w:val="auto"/>
        </w:rPr>
        <w:t>喷射作业与养护</w:t>
      </w:r>
      <w:r>
        <w:rPr>
          <w:color w:val="auto"/>
        </w:rPr>
        <w:tab/>
      </w:r>
      <w:r>
        <w:rPr>
          <w:color w:val="auto"/>
        </w:rPr>
        <w:fldChar w:fldCharType="begin"/>
      </w:r>
      <w:r>
        <w:rPr>
          <w:color w:val="auto"/>
        </w:rPr>
        <w:instrText xml:space="preserve"> PAGEREF _Toc1658245 \h </w:instrText>
      </w:r>
      <w:r>
        <w:rPr>
          <w:color w:val="auto"/>
        </w:rPr>
        <w:fldChar w:fldCharType="separate"/>
      </w:r>
      <w:r>
        <w:rPr>
          <w:color w:val="auto"/>
        </w:rPr>
        <w:t>23</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"_Toc1658246" </w:instrText>
      </w:r>
      <w:r>
        <w:rPr>
          <w:color w:val="auto"/>
        </w:rPr>
        <w:fldChar w:fldCharType="separate"/>
      </w:r>
      <w:r>
        <w:rPr>
          <w:rStyle w:val="41"/>
          <w:rFonts w:eastAsia="黑体"/>
          <w:color w:val="auto"/>
        </w:rPr>
        <w:t xml:space="preserve">7.1  </w:t>
      </w:r>
      <w:r>
        <w:rPr>
          <w:rStyle w:val="41"/>
          <w:rFonts w:hint="eastAsia" w:eastAsia="黑体"/>
          <w:color w:val="auto"/>
        </w:rPr>
        <w:t>一般规定</w:t>
      </w:r>
      <w:r>
        <w:rPr>
          <w:color w:val="auto"/>
        </w:rPr>
        <w:tab/>
      </w:r>
      <w:r>
        <w:rPr>
          <w:color w:val="auto"/>
        </w:rPr>
        <w:fldChar w:fldCharType="begin"/>
      </w:r>
      <w:r>
        <w:rPr>
          <w:color w:val="auto"/>
        </w:rPr>
        <w:instrText xml:space="preserve"> PAGEREF _Toc1658246 \h </w:instrText>
      </w:r>
      <w:r>
        <w:rPr>
          <w:color w:val="auto"/>
        </w:rPr>
        <w:fldChar w:fldCharType="separate"/>
      </w:r>
      <w:r>
        <w:rPr>
          <w:color w:val="auto"/>
        </w:rPr>
        <w:t>23</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"_Toc1658247" </w:instrText>
      </w:r>
      <w:r>
        <w:rPr>
          <w:color w:val="auto"/>
        </w:rPr>
        <w:fldChar w:fldCharType="separate"/>
      </w:r>
      <w:r>
        <w:rPr>
          <w:rStyle w:val="41"/>
          <w:rFonts w:eastAsia="黑体"/>
          <w:color w:val="auto"/>
        </w:rPr>
        <w:t xml:space="preserve">7.2  </w:t>
      </w:r>
      <w:r>
        <w:rPr>
          <w:rStyle w:val="41"/>
          <w:rFonts w:hint="eastAsia" w:eastAsia="黑体"/>
          <w:color w:val="auto"/>
        </w:rPr>
        <w:t>喷射设备</w:t>
      </w:r>
      <w:r>
        <w:rPr>
          <w:color w:val="auto"/>
        </w:rPr>
        <w:tab/>
      </w:r>
      <w:r>
        <w:rPr>
          <w:color w:val="auto"/>
        </w:rPr>
        <w:fldChar w:fldCharType="begin"/>
      </w:r>
      <w:r>
        <w:rPr>
          <w:color w:val="auto"/>
        </w:rPr>
        <w:instrText xml:space="preserve"> PAGEREF _Toc1658247 \h </w:instrText>
      </w:r>
      <w:r>
        <w:rPr>
          <w:color w:val="auto"/>
        </w:rPr>
        <w:fldChar w:fldCharType="separate"/>
      </w:r>
      <w:r>
        <w:rPr>
          <w:color w:val="auto"/>
        </w:rPr>
        <w:t>23</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"_Toc1658248" </w:instrText>
      </w:r>
      <w:r>
        <w:rPr>
          <w:color w:val="auto"/>
        </w:rPr>
        <w:fldChar w:fldCharType="separate"/>
      </w:r>
      <w:r>
        <w:rPr>
          <w:rStyle w:val="41"/>
          <w:rFonts w:eastAsia="黑体"/>
          <w:color w:val="auto"/>
        </w:rPr>
        <w:t xml:space="preserve">7.3  </w:t>
      </w:r>
      <w:r>
        <w:rPr>
          <w:rStyle w:val="41"/>
          <w:rFonts w:hint="eastAsia" w:eastAsia="黑体"/>
          <w:color w:val="auto"/>
        </w:rPr>
        <w:t>喷射工艺流程</w:t>
      </w:r>
      <w:r>
        <w:rPr>
          <w:color w:val="auto"/>
        </w:rPr>
        <w:tab/>
      </w:r>
      <w:r>
        <w:rPr>
          <w:color w:val="auto"/>
        </w:rPr>
        <w:fldChar w:fldCharType="begin"/>
      </w:r>
      <w:r>
        <w:rPr>
          <w:color w:val="auto"/>
        </w:rPr>
        <w:instrText xml:space="preserve"> PAGEREF _Toc1658248 \h </w:instrText>
      </w:r>
      <w:r>
        <w:rPr>
          <w:color w:val="auto"/>
        </w:rPr>
        <w:fldChar w:fldCharType="separate"/>
      </w:r>
      <w:r>
        <w:rPr>
          <w:color w:val="auto"/>
        </w:rPr>
        <w:t>24</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"_Toc1658249" </w:instrText>
      </w:r>
      <w:r>
        <w:rPr>
          <w:color w:val="auto"/>
        </w:rPr>
        <w:fldChar w:fldCharType="separate"/>
      </w:r>
      <w:r>
        <w:rPr>
          <w:rStyle w:val="41"/>
          <w:rFonts w:eastAsia="黑体"/>
          <w:color w:val="auto"/>
        </w:rPr>
        <w:t xml:space="preserve">7.4  </w:t>
      </w:r>
      <w:r>
        <w:rPr>
          <w:rStyle w:val="41"/>
          <w:rFonts w:hint="eastAsia" w:eastAsia="黑体"/>
          <w:color w:val="auto"/>
        </w:rPr>
        <w:t>施工准备</w:t>
      </w:r>
      <w:r>
        <w:rPr>
          <w:color w:val="auto"/>
        </w:rPr>
        <w:tab/>
      </w:r>
      <w:r>
        <w:rPr>
          <w:color w:val="auto"/>
        </w:rPr>
        <w:fldChar w:fldCharType="begin"/>
      </w:r>
      <w:r>
        <w:rPr>
          <w:color w:val="auto"/>
        </w:rPr>
        <w:instrText xml:space="preserve"> PAGEREF _Toc1658249 \h </w:instrText>
      </w:r>
      <w:r>
        <w:rPr>
          <w:color w:val="auto"/>
        </w:rPr>
        <w:fldChar w:fldCharType="separate"/>
      </w:r>
      <w:r>
        <w:rPr>
          <w:color w:val="auto"/>
        </w:rPr>
        <w:t>25</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"_Toc1658250" </w:instrText>
      </w:r>
      <w:r>
        <w:rPr>
          <w:color w:val="auto"/>
        </w:rPr>
        <w:fldChar w:fldCharType="separate"/>
      </w:r>
      <w:r>
        <w:rPr>
          <w:rStyle w:val="41"/>
          <w:rFonts w:eastAsia="黑体"/>
          <w:color w:val="auto"/>
        </w:rPr>
        <w:t xml:space="preserve">7.5  </w:t>
      </w:r>
      <w:r>
        <w:rPr>
          <w:rStyle w:val="41"/>
          <w:rFonts w:hint="eastAsia" w:eastAsia="黑体"/>
          <w:color w:val="auto"/>
        </w:rPr>
        <w:t>喷射作业</w:t>
      </w:r>
      <w:r>
        <w:rPr>
          <w:color w:val="auto"/>
        </w:rPr>
        <w:tab/>
      </w:r>
      <w:r>
        <w:rPr>
          <w:color w:val="auto"/>
        </w:rPr>
        <w:fldChar w:fldCharType="begin"/>
      </w:r>
      <w:r>
        <w:rPr>
          <w:color w:val="auto"/>
        </w:rPr>
        <w:instrText xml:space="preserve"> PAGEREF _Toc1658250 \h </w:instrText>
      </w:r>
      <w:r>
        <w:rPr>
          <w:color w:val="auto"/>
        </w:rPr>
        <w:fldChar w:fldCharType="separate"/>
      </w:r>
      <w:r>
        <w:rPr>
          <w:color w:val="auto"/>
        </w:rPr>
        <w:t>25</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"_Toc1658251" </w:instrText>
      </w:r>
      <w:r>
        <w:rPr>
          <w:color w:val="auto"/>
        </w:rPr>
        <w:fldChar w:fldCharType="separate"/>
      </w:r>
      <w:r>
        <w:rPr>
          <w:rStyle w:val="41"/>
          <w:rFonts w:eastAsia="黑体"/>
          <w:color w:val="auto"/>
        </w:rPr>
        <w:t xml:space="preserve">7.6  </w:t>
      </w:r>
      <w:r>
        <w:rPr>
          <w:rStyle w:val="41"/>
          <w:rFonts w:hint="eastAsia" w:eastAsia="黑体"/>
          <w:color w:val="auto"/>
        </w:rPr>
        <w:t>质量控制</w:t>
      </w:r>
      <w:r>
        <w:rPr>
          <w:color w:val="auto"/>
        </w:rPr>
        <w:tab/>
      </w:r>
      <w:r>
        <w:rPr>
          <w:color w:val="auto"/>
        </w:rPr>
        <w:fldChar w:fldCharType="begin"/>
      </w:r>
      <w:r>
        <w:rPr>
          <w:color w:val="auto"/>
        </w:rPr>
        <w:instrText xml:space="preserve"> PAGEREF _Toc1658251 \h </w:instrText>
      </w:r>
      <w:r>
        <w:rPr>
          <w:color w:val="auto"/>
        </w:rPr>
        <w:fldChar w:fldCharType="separate"/>
      </w:r>
      <w:r>
        <w:rPr>
          <w:color w:val="auto"/>
        </w:rPr>
        <w:t>26</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"_Toc1658252" </w:instrText>
      </w:r>
      <w:r>
        <w:rPr>
          <w:color w:val="auto"/>
        </w:rPr>
        <w:fldChar w:fldCharType="separate"/>
      </w:r>
      <w:r>
        <w:rPr>
          <w:rStyle w:val="41"/>
          <w:rFonts w:eastAsia="黑体"/>
          <w:color w:val="auto"/>
        </w:rPr>
        <w:t xml:space="preserve">7.7  </w:t>
      </w:r>
      <w:r>
        <w:rPr>
          <w:rStyle w:val="41"/>
          <w:rFonts w:hint="eastAsia" w:eastAsia="黑体"/>
          <w:color w:val="auto"/>
        </w:rPr>
        <w:t>养护</w:t>
      </w:r>
      <w:r>
        <w:rPr>
          <w:color w:val="auto"/>
        </w:rPr>
        <w:tab/>
      </w:r>
      <w:r>
        <w:rPr>
          <w:color w:val="auto"/>
        </w:rPr>
        <w:fldChar w:fldCharType="begin"/>
      </w:r>
      <w:r>
        <w:rPr>
          <w:color w:val="auto"/>
        </w:rPr>
        <w:instrText xml:space="preserve"> PAGEREF _Toc1658252 \h </w:instrText>
      </w:r>
      <w:r>
        <w:rPr>
          <w:color w:val="auto"/>
        </w:rPr>
        <w:fldChar w:fldCharType="separate"/>
      </w:r>
      <w:r>
        <w:rPr>
          <w:color w:val="auto"/>
        </w:rPr>
        <w:t>27</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"_Toc1658253" </w:instrText>
      </w:r>
      <w:r>
        <w:rPr>
          <w:color w:val="auto"/>
        </w:rPr>
        <w:fldChar w:fldCharType="separate"/>
      </w:r>
      <w:r>
        <w:rPr>
          <w:rStyle w:val="41"/>
          <w:rFonts w:eastAsia="黑体"/>
          <w:color w:val="auto"/>
        </w:rPr>
        <w:t xml:space="preserve">8 </w:t>
      </w:r>
      <w:r>
        <w:rPr>
          <w:rStyle w:val="41"/>
          <w:rFonts w:hint="eastAsia" w:eastAsia="黑体"/>
          <w:color w:val="auto"/>
        </w:rPr>
        <w:t>安全环保措施</w:t>
      </w:r>
      <w:r>
        <w:rPr>
          <w:color w:val="auto"/>
        </w:rPr>
        <w:tab/>
      </w:r>
      <w:r>
        <w:rPr>
          <w:color w:val="auto"/>
        </w:rPr>
        <w:fldChar w:fldCharType="begin"/>
      </w:r>
      <w:r>
        <w:rPr>
          <w:color w:val="auto"/>
        </w:rPr>
        <w:instrText xml:space="preserve"> PAGEREF _Toc1658253 \h </w:instrText>
      </w:r>
      <w:r>
        <w:rPr>
          <w:color w:val="auto"/>
        </w:rPr>
        <w:fldChar w:fldCharType="separate"/>
      </w:r>
      <w:r>
        <w:rPr>
          <w:color w:val="auto"/>
        </w:rPr>
        <w:t>28</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"_Toc1658254" </w:instrText>
      </w:r>
      <w:r>
        <w:rPr>
          <w:color w:val="auto"/>
        </w:rPr>
        <w:fldChar w:fldCharType="separate"/>
      </w:r>
      <w:r>
        <w:rPr>
          <w:rStyle w:val="41"/>
          <w:rFonts w:eastAsia="黑体"/>
          <w:color w:val="auto"/>
        </w:rPr>
        <w:t xml:space="preserve">8.1  </w:t>
      </w:r>
      <w:r>
        <w:rPr>
          <w:rStyle w:val="41"/>
          <w:rFonts w:hint="eastAsia" w:eastAsia="黑体"/>
          <w:color w:val="auto"/>
        </w:rPr>
        <w:t>安全技术</w:t>
      </w:r>
      <w:r>
        <w:rPr>
          <w:color w:val="auto"/>
        </w:rPr>
        <w:tab/>
      </w:r>
      <w:r>
        <w:rPr>
          <w:color w:val="auto"/>
        </w:rPr>
        <w:fldChar w:fldCharType="begin"/>
      </w:r>
      <w:r>
        <w:rPr>
          <w:color w:val="auto"/>
        </w:rPr>
        <w:instrText xml:space="preserve"> PAGEREF _Toc1658254 \h </w:instrText>
      </w:r>
      <w:r>
        <w:rPr>
          <w:color w:val="auto"/>
        </w:rPr>
        <w:fldChar w:fldCharType="separate"/>
      </w:r>
      <w:r>
        <w:rPr>
          <w:color w:val="auto"/>
        </w:rPr>
        <w:t>28</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"_Toc1658255" </w:instrText>
      </w:r>
      <w:r>
        <w:rPr>
          <w:color w:val="auto"/>
        </w:rPr>
        <w:fldChar w:fldCharType="separate"/>
      </w:r>
      <w:r>
        <w:rPr>
          <w:rStyle w:val="41"/>
          <w:rFonts w:eastAsia="黑体"/>
          <w:color w:val="auto"/>
        </w:rPr>
        <w:t xml:space="preserve">8.2  </w:t>
      </w:r>
      <w:r>
        <w:rPr>
          <w:rStyle w:val="41"/>
          <w:rFonts w:hint="eastAsia" w:eastAsia="黑体"/>
          <w:color w:val="auto"/>
        </w:rPr>
        <w:t>环保要求</w:t>
      </w:r>
      <w:r>
        <w:rPr>
          <w:color w:val="auto"/>
        </w:rPr>
        <w:tab/>
      </w:r>
      <w:r>
        <w:rPr>
          <w:color w:val="auto"/>
        </w:rPr>
        <w:fldChar w:fldCharType="begin"/>
      </w:r>
      <w:r>
        <w:rPr>
          <w:color w:val="auto"/>
        </w:rPr>
        <w:instrText xml:space="preserve"> PAGEREF _Toc1658255 \h </w:instrText>
      </w:r>
      <w:r>
        <w:rPr>
          <w:color w:val="auto"/>
        </w:rPr>
        <w:fldChar w:fldCharType="separate"/>
      </w:r>
      <w:r>
        <w:rPr>
          <w:color w:val="auto"/>
        </w:rPr>
        <w:t>29</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"_Toc1658256" </w:instrText>
      </w:r>
      <w:r>
        <w:rPr>
          <w:color w:val="auto"/>
        </w:rPr>
        <w:fldChar w:fldCharType="separate"/>
      </w:r>
      <w:r>
        <w:rPr>
          <w:rStyle w:val="41"/>
          <w:rFonts w:eastAsia="黑体"/>
          <w:color w:val="auto"/>
        </w:rPr>
        <w:t xml:space="preserve">8.3  </w:t>
      </w:r>
      <w:r>
        <w:rPr>
          <w:rStyle w:val="41"/>
          <w:rFonts w:hint="eastAsia" w:eastAsia="黑体"/>
          <w:color w:val="auto"/>
        </w:rPr>
        <w:t>减少湿喷混凝土回弹措施</w:t>
      </w:r>
      <w:r>
        <w:rPr>
          <w:color w:val="auto"/>
        </w:rPr>
        <w:tab/>
      </w:r>
      <w:r>
        <w:rPr>
          <w:color w:val="auto"/>
        </w:rPr>
        <w:fldChar w:fldCharType="begin"/>
      </w:r>
      <w:r>
        <w:rPr>
          <w:color w:val="auto"/>
        </w:rPr>
        <w:instrText xml:space="preserve"> PAGEREF _Toc1658256 \h </w:instrText>
      </w:r>
      <w:r>
        <w:rPr>
          <w:color w:val="auto"/>
        </w:rPr>
        <w:fldChar w:fldCharType="separate"/>
      </w:r>
      <w:r>
        <w:rPr>
          <w:color w:val="auto"/>
        </w:rPr>
        <w:t>29</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"_Toc1658257" </w:instrText>
      </w:r>
      <w:r>
        <w:rPr>
          <w:color w:val="auto"/>
        </w:rPr>
        <w:fldChar w:fldCharType="separate"/>
      </w:r>
      <w:r>
        <w:rPr>
          <w:rStyle w:val="41"/>
          <w:rFonts w:eastAsia="黑体"/>
          <w:color w:val="auto"/>
        </w:rPr>
        <w:t xml:space="preserve">9  </w:t>
      </w:r>
      <w:r>
        <w:rPr>
          <w:rStyle w:val="41"/>
          <w:rFonts w:hint="eastAsia" w:eastAsia="黑体"/>
          <w:color w:val="auto"/>
        </w:rPr>
        <w:t>质量检查</w:t>
      </w:r>
      <w:r>
        <w:rPr>
          <w:color w:val="auto"/>
        </w:rPr>
        <w:tab/>
      </w:r>
      <w:r>
        <w:rPr>
          <w:color w:val="auto"/>
        </w:rPr>
        <w:fldChar w:fldCharType="begin"/>
      </w:r>
      <w:r>
        <w:rPr>
          <w:color w:val="auto"/>
        </w:rPr>
        <w:instrText xml:space="preserve"> PAGEREF _Toc1658257 \h </w:instrText>
      </w:r>
      <w:r>
        <w:rPr>
          <w:color w:val="auto"/>
        </w:rPr>
        <w:fldChar w:fldCharType="separate"/>
      </w:r>
      <w:r>
        <w:rPr>
          <w:color w:val="auto"/>
        </w:rPr>
        <w:t>30</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"_Toc1658258" </w:instrText>
      </w:r>
      <w:r>
        <w:rPr>
          <w:color w:val="auto"/>
        </w:rPr>
        <w:fldChar w:fldCharType="separate"/>
      </w:r>
      <w:r>
        <w:rPr>
          <w:rStyle w:val="41"/>
          <w:rFonts w:eastAsia="黑体"/>
          <w:color w:val="auto"/>
        </w:rPr>
        <w:t xml:space="preserve">9.1  </w:t>
      </w:r>
      <w:r>
        <w:rPr>
          <w:rStyle w:val="41"/>
          <w:rFonts w:hint="eastAsia" w:eastAsia="黑体"/>
          <w:color w:val="auto"/>
        </w:rPr>
        <w:t>一般规定</w:t>
      </w:r>
      <w:r>
        <w:rPr>
          <w:color w:val="auto"/>
        </w:rPr>
        <w:tab/>
      </w:r>
      <w:r>
        <w:rPr>
          <w:color w:val="auto"/>
        </w:rPr>
        <w:fldChar w:fldCharType="begin"/>
      </w:r>
      <w:r>
        <w:rPr>
          <w:color w:val="auto"/>
        </w:rPr>
        <w:instrText xml:space="preserve"> PAGEREF _Toc1658258 \h </w:instrText>
      </w:r>
      <w:r>
        <w:rPr>
          <w:color w:val="auto"/>
        </w:rPr>
        <w:fldChar w:fldCharType="separate"/>
      </w:r>
      <w:r>
        <w:rPr>
          <w:color w:val="auto"/>
        </w:rPr>
        <w:t>30</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"_Toc1658259" </w:instrText>
      </w:r>
      <w:r>
        <w:rPr>
          <w:color w:val="auto"/>
        </w:rPr>
        <w:fldChar w:fldCharType="separate"/>
      </w:r>
      <w:r>
        <w:rPr>
          <w:rStyle w:val="41"/>
          <w:rFonts w:eastAsia="黑体"/>
          <w:color w:val="auto"/>
        </w:rPr>
        <w:t xml:space="preserve">9.2  </w:t>
      </w:r>
      <w:r>
        <w:rPr>
          <w:rStyle w:val="41"/>
          <w:rFonts w:hint="eastAsia" w:eastAsia="黑体"/>
          <w:color w:val="auto"/>
        </w:rPr>
        <w:t>质量检查流程和方法</w:t>
      </w:r>
      <w:r>
        <w:rPr>
          <w:color w:val="auto"/>
        </w:rPr>
        <w:tab/>
      </w:r>
      <w:r>
        <w:rPr>
          <w:color w:val="auto"/>
        </w:rPr>
        <w:fldChar w:fldCharType="begin"/>
      </w:r>
      <w:r>
        <w:rPr>
          <w:color w:val="auto"/>
        </w:rPr>
        <w:instrText xml:space="preserve"> PAGEREF _Toc1658259 \h </w:instrText>
      </w:r>
      <w:r>
        <w:rPr>
          <w:color w:val="auto"/>
        </w:rPr>
        <w:fldChar w:fldCharType="separate"/>
      </w:r>
      <w:r>
        <w:rPr>
          <w:color w:val="auto"/>
        </w:rPr>
        <w:t>31</w:t>
      </w:r>
      <w:r>
        <w:rPr>
          <w:color w:val="auto"/>
        </w:rPr>
        <w:fldChar w:fldCharType="end"/>
      </w:r>
      <w:r>
        <w:rPr>
          <w:color w:val="auto"/>
        </w:rPr>
        <w:fldChar w:fldCharType="end"/>
      </w:r>
    </w:p>
    <w:p>
      <w:pPr>
        <w:pStyle w:val="33"/>
        <w:rPr>
          <w:rFonts w:asciiTheme="minorHAnsi" w:hAnsiTheme="minorHAnsi" w:eastAsiaTheme="minorEastAsia" w:cstheme="minorBidi"/>
          <w:color w:val="auto"/>
          <w:sz w:val="21"/>
        </w:rPr>
      </w:pPr>
      <w:r>
        <w:rPr>
          <w:color w:val="auto"/>
        </w:rPr>
        <w:fldChar w:fldCharType="begin"/>
      </w:r>
      <w:r>
        <w:rPr>
          <w:color w:val="auto"/>
        </w:rPr>
        <w:instrText xml:space="preserve"> HYPERLINK \l "_Toc1658260" </w:instrText>
      </w:r>
      <w:r>
        <w:rPr>
          <w:color w:val="auto"/>
        </w:rPr>
        <w:fldChar w:fldCharType="separate"/>
      </w:r>
      <w:r>
        <w:rPr>
          <w:rStyle w:val="41"/>
          <w:rFonts w:eastAsia="黑体"/>
          <w:color w:val="auto"/>
        </w:rPr>
        <w:t xml:space="preserve">9.3  </w:t>
      </w:r>
      <w:r>
        <w:rPr>
          <w:rStyle w:val="41"/>
          <w:rFonts w:hint="eastAsia" w:eastAsia="黑体"/>
          <w:color w:val="auto"/>
        </w:rPr>
        <w:t>质量检查标准</w:t>
      </w:r>
      <w:r>
        <w:rPr>
          <w:color w:val="auto"/>
        </w:rPr>
        <w:tab/>
      </w:r>
      <w:r>
        <w:rPr>
          <w:color w:val="auto"/>
        </w:rPr>
        <w:fldChar w:fldCharType="begin"/>
      </w:r>
      <w:r>
        <w:rPr>
          <w:color w:val="auto"/>
        </w:rPr>
        <w:instrText xml:space="preserve"> PAGEREF _Toc1658260 \h </w:instrText>
      </w:r>
      <w:r>
        <w:rPr>
          <w:color w:val="auto"/>
        </w:rPr>
        <w:fldChar w:fldCharType="separate"/>
      </w:r>
      <w:r>
        <w:rPr>
          <w:color w:val="auto"/>
        </w:rPr>
        <w:t>31</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"_Toc1658261" </w:instrText>
      </w:r>
      <w:r>
        <w:rPr>
          <w:color w:val="auto"/>
        </w:rPr>
        <w:fldChar w:fldCharType="separate"/>
      </w:r>
      <w:r>
        <w:rPr>
          <w:rStyle w:val="41"/>
          <w:rFonts w:hint="eastAsia"/>
          <w:color w:val="auto"/>
        </w:rPr>
        <w:t>附录</w:t>
      </w:r>
      <w:r>
        <w:rPr>
          <w:rStyle w:val="41"/>
          <w:color w:val="auto"/>
        </w:rPr>
        <w:t xml:space="preserve">A </w:t>
      </w:r>
      <w:r>
        <w:rPr>
          <w:rStyle w:val="41"/>
          <w:rFonts w:hint="eastAsia"/>
          <w:color w:val="auto"/>
        </w:rPr>
        <w:t>掺速凝剂的净浆凝结时间试验</w:t>
      </w:r>
      <w:r>
        <w:rPr>
          <w:color w:val="auto"/>
        </w:rPr>
        <w:tab/>
      </w:r>
      <w:r>
        <w:rPr>
          <w:color w:val="auto"/>
        </w:rPr>
        <w:fldChar w:fldCharType="begin"/>
      </w:r>
      <w:r>
        <w:rPr>
          <w:color w:val="auto"/>
        </w:rPr>
        <w:instrText xml:space="preserve"> PAGEREF _Toc1658261 \h </w:instrText>
      </w:r>
      <w:r>
        <w:rPr>
          <w:color w:val="auto"/>
        </w:rPr>
        <w:fldChar w:fldCharType="separate"/>
      </w:r>
      <w:r>
        <w:rPr>
          <w:color w:val="auto"/>
        </w:rPr>
        <w:t>34</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"_Toc1658262" </w:instrText>
      </w:r>
      <w:r>
        <w:rPr>
          <w:color w:val="auto"/>
        </w:rPr>
        <w:fldChar w:fldCharType="separate"/>
      </w:r>
      <w:r>
        <w:rPr>
          <w:rStyle w:val="41"/>
          <w:rFonts w:hint="eastAsia"/>
          <w:color w:val="auto"/>
        </w:rPr>
        <w:t>附录</w:t>
      </w:r>
      <w:r>
        <w:rPr>
          <w:rStyle w:val="41"/>
          <w:color w:val="auto"/>
        </w:rPr>
        <w:t xml:space="preserve">B </w:t>
      </w:r>
      <w:r>
        <w:rPr>
          <w:rStyle w:val="41"/>
          <w:rFonts w:hint="eastAsia"/>
          <w:color w:val="auto"/>
        </w:rPr>
        <w:t>湿喷混凝土强度检查试件制作方法</w:t>
      </w:r>
      <w:r>
        <w:rPr>
          <w:color w:val="auto"/>
        </w:rPr>
        <w:tab/>
      </w:r>
      <w:r>
        <w:rPr>
          <w:color w:val="auto"/>
        </w:rPr>
        <w:fldChar w:fldCharType="begin"/>
      </w:r>
      <w:r>
        <w:rPr>
          <w:color w:val="auto"/>
        </w:rPr>
        <w:instrText xml:space="preserve"> PAGEREF _Toc1658262 \h </w:instrText>
      </w:r>
      <w:r>
        <w:rPr>
          <w:color w:val="auto"/>
        </w:rPr>
        <w:fldChar w:fldCharType="separate"/>
      </w:r>
      <w:r>
        <w:rPr>
          <w:color w:val="auto"/>
        </w:rPr>
        <w:t>36</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"_Toc1658263" </w:instrText>
      </w:r>
      <w:r>
        <w:rPr>
          <w:color w:val="auto"/>
        </w:rPr>
        <w:fldChar w:fldCharType="separate"/>
      </w:r>
      <w:r>
        <w:rPr>
          <w:rStyle w:val="41"/>
          <w:rFonts w:hint="eastAsia"/>
          <w:color w:val="auto"/>
        </w:rPr>
        <w:t>附录</w:t>
      </w:r>
      <w:r>
        <w:rPr>
          <w:rStyle w:val="41"/>
          <w:color w:val="auto"/>
        </w:rPr>
        <w:t xml:space="preserve">C </w:t>
      </w:r>
      <w:r>
        <w:rPr>
          <w:rStyle w:val="41"/>
          <w:rFonts w:hint="eastAsia"/>
          <w:color w:val="auto"/>
        </w:rPr>
        <w:t>湿喷混凝土抗压强度试验</w:t>
      </w:r>
      <w:r>
        <w:rPr>
          <w:color w:val="auto"/>
        </w:rPr>
        <w:tab/>
      </w:r>
      <w:r>
        <w:rPr>
          <w:color w:val="auto"/>
        </w:rPr>
        <w:fldChar w:fldCharType="begin"/>
      </w:r>
      <w:r>
        <w:rPr>
          <w:color w:val="auto"/>
        </w:rPr>
        <w:instrText xml:space="preserve"> PAGEREF _Toc1658263 \h </w:instrText>
      </w:r>
      <w:r>
        <w:rPr>
          <w:color w:val="auto"/>
        </w:rPr>
        <w:fldChar w:fldCharType="separate"/>
      </w:r>
      <w:r>
        <w:rPr>
          <w:color w:val="auto"/>
        </w:rPr>
        <w:t>37</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"_Toc1658264" </w:instrText>
      </w:r>
      <w:r>
        <w:rPr>
          <w:color w:val="auto"/>
        </w:rPr>
        <w:fldChar w:fldCharType="separate"/>
      </w:r>
      <w:r>
        <w:rPr>
          <w:rStyle w:val="41"/>
          <w:rFonts w:hint="eastAsia"/>
          <w:color w:val="auto"/>
        </w:rPr>
        <w:t>附录</w:t>
      </w:r>
      <w:r>
        <w:rPr>
          <w:rStyle w:val="41"/>
          <w:color w:val="auto"/>
        </w:rPr>
        <w:t xml:space="preserve">D </w:t>
      </w:r>
      <w:r>
        <w:rPr>
          <w:rStyle w:val="41"/>
          <w:rFonts w:hint="eastAsia"/>
          <w:color w:val="auto"/>
        </w:rPr>
        <w:t>湿喷混凝土能量吸收等级试验</w:t>
      </w:r>
      <w:r>
        <w:rPr>
          <w:color w:val="auto"/>
        </w:rPr>
        <w:tab/>
      </w:r>
      <w:r>
        <w:rPr>
          <w:color w:val="auto"/>
        </w:rPr>
        <w:fldChar w:fldCharType="begin"/>
      </w:r>
      <w:r>
        <w:rPr>
          <w:color w:val="auto"/>
        </w:rPr>
        <w:instrText xml:space="preserve"> PAGEREF _Toc1658264 \h </w:instrText>
      </w:r>
      <w:r>
        <w:rPr>
          <w:color w:val="auto"/>
        </w:rPr>
        <w:fldChar w:fldCharType="separate"/>
      </w:r>
      <w:r>
        <w:rPr>
          <w:color w:val="auto"/>
        </w:rPr>
        <w:t>38</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"_Toc1658265" </w:instrText>
      </w:r>
      <w:r>
        <w:rPr>
          <w:color w:val="auto"/>
        </w:rPr>
        <w:fldChar w:fldCharType="separate"/>
      </w:r>
      <w:r>
        <w:rPr>
          <w:rStyle w:val="41"/>
          <w:rFonts w:hint="eastAsia"/>
          <w:color w:val="auto"/>
        </w:rPr>
        <w:t>附录</w:t>
      </w:r>
      <w:r>
        <w:rPr>
          <w:rStyle w:val="41"/>
          <w:color w:val="auto"/>
        </w:rPr>
        <w:t xml:space="preserve">E </w:t>
      </w:r>
      <w:r>
        <w:rPr>
          <w:rStyle w:val="41"/>
          <w:rFonts w:hint="eastAsia"/>
          <w:color w:val="auto"/>
        </w:rPr>
        <w:t>湿喷混凝土回弹率试验</w:t>
      </w:r>
      <w:r>
        <w:rPr>
          <w:color w:val="auto"/>
        </w:rPr>
        <w:tab/>
      </w:r>
      <w:r>
        <w:rPr>
          <w:color w:val="auto"/>
        </w:rPr>
        <w:fldChar w:fldCharType="begin"/>
      </w:r>
      <w:r>
        <w:rPr>
          <w:color w:val="auto"/>
        </w:rPr>
        <w:instrText xml:space="preserve"> PAGEREF _Toc1658265 \h </w:instrText>
      </w:r>
      <w:r>
        <w:rPr>
          <w:color w:val="auto"/>
        </w:rPr>
        <w:fldChar w:fldCharType="separate"/>
      </w:r>
      <w:r>
        <w:rPr>
          <w:color w:val="auto"/>
        </w:rPr>
        <w:t>41</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"_Toc1658266" </w:instrText>
      </w:r>
      <w:r>
        <w:rPr>
          <w:color w:val="auto"/>
        </w:rPr>
        <w:fldChar w:fldCharType="separate"/>
      </w:r>
      <w:r>
        <w:rPr>
          <w:rStyle w:val="41"/>
          <w:rFonts w:hint="eastAsia"/>
          <w:color w:val="auto"/>
        </w:rPr>
        <w:t>附录</w:t>
      </w:r>
      <w:r>
        <w:rPr>
          <w:rStyle w:val="41"/>
          <w:color w:val="auto"/>
        </w:rPr>
        <w:t xml:space="preserve">F </w:t>
      </w:r>
      <w:r>
        <w:rPr>
          <w:rStyle w:val="41"/>
          <w:rFonts w:hint="eastAsia"/>
          <w:color w:val="auto"/>
        </w:rPr>
        <w:t>射钉法试验</w:t>
      </w:r>
      <w:r>
        <w:rPr>
          <w:color w:val="auto"/>
        </w:rPr>
        <w:tab/>
      </w:r>
      <w:r>
        <w:rPr>
          <w:color w:val="auto"/>
        </w:rPr>
        <w:fldChar w:fldCharType="begin"/>
      </w:r>
      <w:r>
        <w:rPr>
          <w:color w:val="auto"/>
        </w:rPr>
        <w:instrText xml:space="preserve"> PAGEREF _Toc1658266 \h </w:instrText>
      </w:r>
      <w:r>
        <w:rPr>
          <w:color w:val="auto"/>
        </w:rPr>
        <w:fldChar w:fldCharType="separate"/>
      </w:r>
      <w:r>
        <w:rPr>
          <w:color w:val="auto"/>
        </w:rPr>
        <w:t>42</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"_Toc1658267" </w:instrText>
      </w:r>
      <w:r>
        <w:rPr>
          <w:color w:val="auto"/>
        </w:rPr>
        <w:fldChar w:fldCharType="separate"/>
      </w:r>
      <w:r>
        <w:rPr>
          <w:rStyle w:val="41"/>
          <w:rFonts w:hint="eastAsia" w:eastAsia="黑体"/>
          <w:color w:val="auto"/>
        </w:rPr>
        <w:t>本规程用词说明</w:t>
      </w:r>
      <w:r>
        <w:rPr>
          <w:color w:val="auto"/>
        </w:rPr>
        <w:tab/>
      </w:r>
      <w:r>
        <w:rPr>
          <w:color w:val="auto"/>
        </w:rPr>
        <w:fldChar w:fldCharType="begin"/>
      </w:r>
      <w:r>
        <w:rPr>
          <w:color w:val="auto"/>
        </w:rPr>
        <w:instrText xml:space="preserve"> PAGEREF _Toc1658267 \h </w:instrText>
      </w:r>
      <w:r>
        <w:rPr>
          <w:color w:val="auto"/>
        </w:rPr>
        <w:fldChar w:fldCharType="separate"/>
      </w:r>
      <w:r>
        <w:rPr>
          <w:color w:val="auto"/>
        </w:rPr>
        <w:t>46</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"_Toc1658268" </w:instrText>
      </w:r>
      <w:r>
        <w:rPr>
          <w:color w:val="auto"/>
        </w:rPr>
        <w:fldChar w:fldCharType="separate"/>
      </w:r>
      <w:r>
        <w:rPr>
          <w:rStyle w:val="41"/>
          <w:rFonts w:hint="eastAsia" w:eastAsia="黑体"/>
          <w:color w:val="auto"/>
        </w:rPr>
        <w:t>本规程引用规范清单</w:t>
      </w:r>
      <w:r>
        <w:rPr>
          <w:color w:val="auto"/>
        </w:rPr>
        <w:tab/>
      </w:r>
      <w:r>
        <w:rPr>
          <w:color w:val="auto"/>
        </w:rPr>
        <w:fldChar w:fldCharType="begin"/>
      </w:r>
      <w:r>
        <w:rPr>
          <w:color w:val="auto"/>
        </w:rPr>
        <w:instrText xml:space="preserve"> PAGEREF _Toc1658268 \h </w:instrText>
      </w:r>
      <w:r>
        <w:rPr>
          <w:color w:val="auto"/>
        </w:rPr>
        <w:fldChar w:fldCharType="separate"/>
      </w:r>
      <w:r>
        <w:rPr>
          <w:color w:val="auto"/>
        </w:rPr>
        <w:t>47</w:t>
      </w:r>
      <w:r>
        <w:rPr>
          <w:color w:val="auto"/>
        </w:rPr>
        <w:fldChar w:fldCharType="end"/>
      </w:r>
      <w:r>
        <w:rPr>
          <w:color w:val="auto"/>
        </w:rPr>
        <w:fldChar w:fldCharType="end"/>
      </w:r>
    </w:p>
    <w:p>
      <w:pPr>
        <w:pStyle w:val="29"/>
        <w:rPr>
          <w:rFonts w:asciiTheme="minorHAnsi" w:hAnsiTheme="minorHAnsi" w:eastAsiaTheme="minorEastAsia" w:cstheme="minorBidi"/>
          <w:b w:val="0"/>
          <w:color w:val="auto"/>
          <w:sz w:val="21"/>
        </w:rPr>
      </w:pPr>
      <w:r>
        <w:rPr>
          <w:color w:val="auto"/>
        </w:rPr>
        <w:fldChar w:fldCharType="begin"/>
      </w:r>
      <w:r>
        <w:rPr>
          <w:color w:val="auto"/>
        </w:rPr>
        <w:instrText xml:space="preserve"> HYPERLINK \l "_Toc1658269" </w:instrText>
      </w:r>
      <w:r>
        <w:rPr>
          <w:color w:val="auto"/>
        </w:rPr>
        <w:fldChar w:fldCharType="separate"/>
      </w:r>
      <w:r>
        <w:rPr>
          <w:rStyle w:val="41"/>
          <w:rFonts w:hint="eastAsia"/>
          <w:color w:val="auto"/>
        </w:rPr>
        <w:t>《铁路隧道湿喷混凝土施工规程》条文说明</w:t>
      </w:r>
      <w:r>
        <w:rPr>
          <w:color w:val="auto"/>
        </w:rPr>
        <w:tab/>
      </w:r>
      <w:r>
        <w:rPr>
          <w:color w:val="auto"/>
        </w:rPr>
        <w:fldChar w:fldCharType="begin"/>
      </w:r>
      <w:r>
        <w:rPr>
          <w:color w:val="auto"/>
        </w:rPr>
        <w:instrText xml:space="preserve"> PAGEREF _Toc1658269 \h </w:instrText>
      </w:r>
      <w:r>
        <w:rPr>
          <w:color w:val="auto"/>
        </w:rPr>
        <w:fldChar w:fldCharType="separate"/>
      </w:r>
      <w:r>
        <w:rPr>
          <w:color w:val="auto"/>
        </w:rPr>
        <w:t>48</w:t>
      </w:r>
      <w:r>
        <w:rPr>
          <w:color w:val="auto"/>
        </w:rPr>
        <w:fldChar w:fldCharType="end"/>
      </w:r>
      <w:r>
        <w:rPr>
          <w:color w:val="auto"/>
        </w:rPr>
        <w:fldChar w:fldCharType="end"/>
      </w:r>
    </w:p>
    <w:p>
      <w:pPr>
        <w:spacing w:line="300" w:lineRule="auto"/>
        <w:rPr>
          <w:color w:val="auto"/>
          <w:sz w:val="21"/>
          <w:szCs w:val="21"/>
        </w:rPr>
        <w:sectPr>
          <w:footerReference r:id="rId8" w:type="default"/>
          <w:pgSz w:w="11906" w:h="16838"/>
          <w:pgMar w:top="1440" w:right="1418" w:bottom="1440" w:left="1418" w:header="851" w:footer="992" w:gutter="0"/>
          <w:pgNumType w:start="1"/>
          <w:cols w:space="425" w:num="1"/>
          <w:docGrid w:type="lines" w:linePitch="312" w:charSpace="0"/>
        </w:sectPr>
      </w:pPr>
      <w:r>
        <w:rPr>
          <w:color w:val="auto"/>
          <w:sz w:val="21"/>
          <w:szCs w:val="21"/>
        </w:rPr>
        <w:fldChar w:fldCharType="end"/>
      </w:r>
    </w:p>
    <w:p>
      <w:pPr>
        <w:pStyle w:val="2"/>
        <w:pageBreakBefore/>
        <w:spacing w:before="600" w:beforeLines="0" w:after="600" w:afterLines="0" w:line="400" w:lineRule="exact"/>
        <w:rPr>
          <w:rFonts w:eastAsia="黑体"/>
          <w:b w:val="0"/>
          <w:color w:val="auto"/>
          <w:sz w:val="32"/>
        </w:rPr>
      </w:pPr>
      <w:bookmarkStart w:id="0" w:name="_Toc1658221"/>
      <w:r>
        <w:rPr>
          <w:rFonts w:eastAsia="黑体"/>
          <w:b w:val="0"/>
          <w:color w:val="auto"/>
          <w:sz w:val="32"/>
        </w:rPr>
        <w:t>1  总    则</w:t>
      </w:r>
      <w:bookmarkEnd w:id="0"/>
    </w:p>
    <w:p>
      <w:pPr>
        <w:pStyle w:val="48"/>
        <w:numPr>
          <w:ilvl w:val="0"/>
          <w:numId w:val="4"/>
        </w:numPr>
        <w:ind w:left="0" w:firstLine="0"/>
        <w:rPr>
          <w:b/>
          <w:color w:val="auto"/>
          <w:szCs w:val="24"/>
        </w:rPr>
      </w:pPr>
      <w:r>
        <w:rPr>
          <w:color w:val="auto"/>
          <w:szCs w:val="24"/>
        </w:rPr>
        <w:t>为规范铁路隧道湿喷混凝土施工，做到安全适用、经济合理、技术先进，保证工程质量，制定本规程。</w:t>
      </w:r>
    </w:p>
    <w:p>
      <w:pPr>
        <w:pStyle w:val="48"/>
        <w:numPr>
          <w:ilvl w:val="0"/>
          <w:numId w:val="4"/>
        </w:numPr>
        <w:ind w:left="0" w:firstLine="0"/>
        <w:rPr>
          <w:rFonts w:hint="eastAsia"/>
          <w:b/>
          <w:color w:val="auto"/>
          <w:szCs w:val="24"/>
        </w:rPr>
      </w:pPr>
      <w:r>
        <w:rPr>
          <w:color w:val="auto"/>
          <w:szCs w:val="24"/>
        </w:rPr>
        <w:t>本规程适用于</w:t>
      </w:r>
      <w:r>
        <w:rPr>
          <w:rFonts w:hint="eastAsia"/>
          <w:color w:val="auto"/>
          <w:szCs w:val="24"/>
        </w:rPr>
        <w:t>采用</w:t>
      </w:r>
      <w:r>
        <w:rPr>
          <w:color w:val="auto"/>
          <w:szCs w:val="24"/>
        </w:rPr>
        <w:t>湿喷混凝土工艺的新建、改扩建铁路隧道工程施工。</w:t>
      </w:r>
    </w:p>
    <w:p>
      <w:pPr>
        <w:pStyle w:val="48"/>
        <w:numPr>
          <w:ilvl w:val="0"/>
          <w:numId w:val="4"/>
        </w:numPr>
        <w:ind w:left="0" w:firstLine="0"/>
        <w:rPr>
          <w:rFonts w:hint="eastAsia"/>
          <w:color w:val="auto"/>
          <w:szCs w:val="24"/>
          <w:lang w:val="en-US"/>
        </w:rPr>
      </w:pPr>
      <w:r>
        <w:rPr>
          <w:rFonts w:hint="eastAsia"/>
          <w:color w:val="auto"/>
          <w:szCs w:val="24"/>
        </w:rPr>
        <w:t>铁路混凝土工程施工应.真执行国家法律法规及相关技术标准，严格按照</w:t>
      </w:r>
      <w:r>
        <w:rPr>
          <w:rFonts w:hint="eastAsia"/>
          <w:color w:val="auto"/>
          <w:szCs w:val="24"/>
          <w:lang w:val="en-US" w:eastAsia="zh-CN"/>
        </w:rPr>
        <w:t>设计</w:t>
      </w:r>
      <w:r>
        <w:rPr>
          <w:rFonts w:hint="eastAsia"/>
          <w:color w:val="auto"/>
          <w:szCs w:val="24"/>
        </w:rPr>
        <w:t>文</w:t>
      </w:r>
      <w:r>
        <w:rPr>
          <w:rFonts w:hint="eastAsia" w:asciiTheme="minorEastAsia" w:hAnsiTheme="minorEastAsia" w:eastAsiaTheme="minorEastAsia" w:cstheme="minorEastAsia"/>
          <w:color w:val="auto"/>
          <w:sz w:val="24"/>
          <w:szCs w:val="24"/>
        </w:rPr>
        <w:t>件施工，</w:t>
      </w:r>
      <w:r>
        <w:rPr>
          <w:rFonts w:hint="eastAsia" w:asciiTheme="minorEastAsia" w:hAnsiTheme="minorEastAsia" w:eastAsiaTheme="minorEastAsia" w:cstheme="minorEastAsia"/>
          <w:color w:val="auto"/>
          <w:sz w:val="24"/>
          <w:szCs w:val="24"/>
          <w:lang w:val="en-US" w:eastAsia="zh-CN"/>
        </w:rPr>
        <w:t>满足工程结构安全性、耐久性及功能要求。</w:t>
      </w:r>
    </w:p>
    <w:p>
      <w:pPr>
        <w:pStyle w:val="48"/>
        <w:numPr>
          <w:ilvl w:val="0"/>
          <w:numId w:val="4"/>
        </w:numPr>
        <w:ind w:left="0" w:firstLine="0"/>
        <w:rPr>
          <w:rFonts w:hint="eastAsia"/>
          <w:b/>
          <w:color w:val="auto"/>
          <w:szCs w:val="24"/>
        </w:rPr>
      </w:pPr>
      <w:r>
        <w:rPr>
          <w:rFonts w:ascii="宋体" w:hAnsi="宋体"/>
          <w:color w:val="auto"/>
        </w:rPr>
        <w:t>铁路隧道</w:t>
      </w:r>
      <w:r>
        <w:rPr>
          <w:rFonts w:hint="eastAsia" w:ascii="宋体" w:hAnsi="宋体"/>
          <w:color w:val="auto"/>
        </w:rPr>
        <w:t>湿</w:t>
      </w:r>
      <w:r>
        <w:rPr>
          <w:rFonts w:ascii="宋体" w:hAnsi="宋体"/>
          <w:color w:val="auto"/>
        </w:rPr>
        <w:t>喷混凝土应严格按设计要求施工，</w:t>
      </w:r>
      <w:r>
        <w:rPr>
          <w:rFonts w:hint="eastAsia" w:ascii="宋体" w:hAnsi="宋体"/>
          <w:color w:val="auto"/>
        </w:rPr>
        <w:t>并</w:t>
      </w:r>
      <w:r>
        <w:rPr>
          <w:rFonts w:ascii="宋体" w:hAnsi="宋体"/>
          <w:color w:val="auto"/>
        </w:rPr>
        <w:t>加强施工工序管理。</w:t>
      </w:r>
    </w:p>
    <w:p>
      <w:pPr>
        <w:pStyle w:val="48"/>
        <w:numPr>
          <w:ilvl w:val="0"/>
          <w:numId w:val="4"/>
        </w:numPr>
        <w:ind w:left="0" w:firstLine="0"/>
        <w:rPr>
          <w:rFonts w:hint="eastAsia"/>
          <w:b/>
          <w:color w:val="auto"/>
          <w:szCs w:val="24"/>
        </w:rPr>
      </w:pPr>
      <w:r>
        <w:rPr>
          <w:rFonts w:ascii="宋体" w:hAnsi="宋体"/>
          <w:color w:val="auto"/>
        </w:rPr>
        <w:t>铁路隧道</w:t>
      </w:r>
      <w:r>
        <w:rPr>
          <w:rFonts w:hint="eastAsia" w:ascii="宋体" w:hAnsi="宋体"/>
          <w:color w:val="auto"/>
        </w:rPr>
        <w:t>湿喷混凝土施工、检测应积极采用新技术、新材料、新设备和新工艺。</w:t>
      </w:r>
    </w:p>
    <w:p>
      <w:pPr>
        <w:pStyle w:val="48"/>
        <w:numPr>
          <w:ilvl w:val="0"/>
          <w:numId w:val="4"/>
        </w:numPr>
        <w:ind w:left="0" w:firstLine="0"/>
        <w:rPr>
          <w:rFonts w:hint="eastAsia"/>
          <w:b/>
          <w:color w:val="auto"/>
          <w:szCs w:val="24"/>
          <w:highlight w:val="none"/>
        </w:rPr>
      </w:pPr>
      <w:r>
        <w:rPr>
          <w:rFonts w:ascii="宋体" w:hAnsi="宋体"/>
          <w:color w:val="auto"/>
          <w:highlight w:val="none"/>
        </w:rPr>
        <w:t>铁路隧道</w:t>
      </w:r>
      <w:r>
        <w:rPr>
          <w:rFonts w:hint="eastAsia" w:ascii="宋体" w:hAnsi="宋体"/>
          <w:color w:val="auto"/>
          <w:highlight w:val="none"/>
        </w:rPr>
        <w:t>湿喷混凝土施工应积极采用先进机械设备的数据采集功能进行信息化施工。</w:t>
      </w:r>
    </w:p>
    <w:p>
      <w:pPr>
        <w:pStyle w:val="48"/>
        <w:numPr>
          <w:ilvl w:val="0"/>
          <w:numId w:val="4"/>
        </w:numPr>
        <w:ind w:left="0" w:firstLine="0"/>
        <w:rPr>
          <w:b/>
          <w:color w:val="auto"/>
          <w:szCs w:val="24"/>
        </w:rPr>
      </w:pPr>
      <w:r>
        <w:rPr>
          <w:color w:val="auto"/>
          <w:szCs w:val="24"/>
        </w:rPr>
        <w:t>铁路隧道湿喷混凝土施工</w:t>
      </w:r>
      <w:r>
        <w:rPr>
          <w:color w:val="auto"/>
          <w:kern w:val="0"/>
          <w:lang w:val="zh-CN"/>
        </w:rPr>
        <w:t>应遵守国家、地方有关环境保护、水土保持等方面的法律法规，并重视</w:t>
      </w:r>
      <w:r>
        <w:rPr>
          <w:rFonts w:hint="eastAsia"/>
          <w:color w:val="auto"/>
          <w:kern w:val="0"/>
          <w:lang w:val="zh-CN"/>
        </w:rPr>
        <w:t>湿</w:t>
      </w:r>
      <w:r>
        <w:rPr>
          <w:color w:val="auto"/>
          <w:kern w:val="0"/>
          <w:lang w:val="zh-CN"/>
        </w:rPr>
        <w:t>喷混凝土对生态环境和水资源的影响。</w:t>
      </w:r>
    </w:p>
    <w:p>
      <w:pPr>
        <w:pStyle w:val="48"/>
        <w:numPr>
          <w:ilvl w:val="0"/>
          <w:numId w:val="4"/>
        </w:numPr>
        <w:ind w:left="0" w:firstLine="0"/>
        <w:rPr>
          <w:rFonts w:hint="eastAsia"/>
          <w:color w:val="auto"/>
        </w:rPr>
      </w:pPr>
      <w:r>
        <w:rPr>
          <w:color w:val="auto"/>
          <w:szCs w:val="24"/>
        </w:rPr>
        <w:t>铁路隧道湿喷混凝土施工除应符合本规程外，尚应符合现行国家、行业有关标准的规定。</w:t>
      </w:r>
    </w:p>
    <w:p>
      <w:pPr>
        <w:widowControl/>
        <w:spacing w:line="240" w:lineRule="auto"/>
        <w:jc w:val="left"/>
        <w:rPr>
          <w:color w:val="auto"/>
        </w:rPr>
      </w:pPr>
      <w:r>
        <w:rPr>
          <w:color w:val="auto"/>
        </w:rPr>
        <w:br w:type="page"/>
      </w:r>
    </w:p>
    <w:p>
      <w:pPr>
        <w:pStyle w:val="2"/>
        <w:pageBreakBefore/>
        <w:spacing w:before="600" w:beforeLines="0" w:after="600" w:afterLines="0" w:line="400" w:lineRule="exact"/>
        <w:rPr>
          <w:rFonts w:eastAsia="黑体"/>
          <w:b w:val="0"/>
          <w:color w:val="auto"/>
          <w:sz w:val="32"/>
        </w:rPr>
      </w:pPr>
      <w:bookmarkStart w:id="1" w:name="_Toc1658222"/>
      <w:r>
        <w:rPr>
          <w:rFonts w:eastAsia="黑体"/>
          <w:b w:val="0"/>
          <w:color w:val="auto"/>
          <w:sz w:val="32"/>
        </w:rPr>
        <w:t>2  术语和符号</w:t>
      </w:r>
      <w:bookmarkEnd w:id="1"/>
    </w:p>
    <w:p>
      <w:pPr>
        <w:pStyle w:val="3"/>
        <w:keepNext/>
        <w:keepLines/>
        <w:spacing w:before="360" w:beforeLines="0" w:after="360" w:afterLines="0" w:line="400" w:lineRule="atLeast"/>
        <w:rPr>
          <w:rFonts w:eastAsia="黑体"/>
          <w:b w:val="0"/>
          <w:color w:val="auto"/>
          <w:sz w:val="24"/>
          <w:szCs w:val="24"/>
        </w:rPr>
      </w:pPr>
      <w:bookmarkStart w:id="2" w:name="_Toc1658223"/>
      <w:r>
        <w:rPr>
          <w:rFonts w:eastAsia="黑体"/>
          <w:b w:val="0"/>
          <w:color w:val="auto"/>
          <w:sz w:val="24"/>
          <w:szCs w:val="24"/>
        </w:rPr>
        <w:t>2.1  术  语</w:t>
      </w:r>
      <w:bookmarkEnd w:id="2"/>
    </w:p>
    <w:p>
      <w:pPr>
        <w:pStyle w:val="48"/>
        <w:numPr>
          <w:ilvl w:val="0"/>
          <w:numId w:val="5"/>
        </w:numPr>
        <w:rPr>
          <w:color w:val="auto"/>
        </w:rPr>
      </w:pPr>
      <w:r>
        <w:rPr>
          <w:color w:val="auto"/>
        </w:rPr>
        <w:t>湿喷混凝土 Wet</w:t>
      </w:r>
      <w:r>
        <w:rPr>
          <w:rFonts w:hint="eastAsia"/>
          <w:color w:val="auto"/>
        </w:rPr>
        <w:t>-</w:t>
      </w:r>
      <w:r>
        <w:rPr>
          <w:color w:val="auto"/>
        </w:rPr>
        <w:t>spray concrete</w:t>
      </w:r>
    </w:p>
    <w:p>
      <w:pPr>
        <w:ind w:firstLine="430"/>
        <w:rPr>
          <w:color w:val="auto"/>
        </w:rPr>
      </w:pPr>
      <w:r>
        <w:rPr>
          <w:color w:val="auto"/>
        </w:rPr>
        <w:t>将水泥、粗细骨料、水及外加剂等材料按特定配合比均匀拌和，送入喷射设备，并在喷嘴处添加速凝剂，通过压缩空气动力将拌和物喷射到受喷面而形成的混凝土。</w:t>
      </w:r>
    </w:p>
    <w:p>
      <w:pPr>
        <w:pStyle w:val="48"/>
        <w:numPr>
          <w:ilvl w:val="0"/>
          <w:numId w:val="5"/>
        </w:numPr>
        <w:rPr>
          <w:color w:val="auto"/>
        </w:rPr>
      </w:pPr>
      <w:r>
        <w:rPr>
          <w:color w:val="auto"/>
        </w:rPr>
        <w:t>喷射纤维混凝土  fibers reinforced sprayed concrete</w:t>
      </w:r>
    </w:p>
    <w:p>
      <w:pPr>
        <w:ind w:firstLine="492"/>
        <w:rPr>
          <w:color w:val="auto"/>
        </w:rPr>
      </w:pPr>
      <w:r>
        <w:rPr>
          <w:color w:val="auto"/>
        </w:rPr>
        <w:t>混凝土拌合物由胶凝材料、骨料、纤维等组成的喷射混凝土。</w:t>
      </w:r>
    </w:p>
    <w:p>
      <w:pPr>
        <w:pStyle w:val="48"/>
        <w:numPr>
          <w:ilvl w:val="0"/>
          <w:numId w:val="5"/>
        </w:numPr>
        <w:rPr>
          <w:color w:val="auto"/>
        </w:rPr>
      </w:pPr>
      <w:r>
        <w:rPr>
          <w:color w:val="auto"/>
        </w:rPr>
        <w:t>高强喷射混凝土  high strength sprayed concrete</w:t>
      </w:r>
    </w:p>
    <w:p>
      <w:pPr>
        <w:rPr>
          <w:color w:val="auto"/>
        </w:rPr>
      </w:pPr>
      <w:r>
        <w:rPr>
          <w:color w:val="auto"/>
        </w:rPr>
        <w:t xml:space="preserve">    强度等级不低于C40的喷射混凝土。</w:t>
      </w:r>
    </w:p>
    <w:p>
      <w:pPr>
        <w:pStyle w:val="48"/>
        <w:numPr>
          <w:ilvl w:val="0"/>
          <w:numId w:val="5"/>
        </w:numPr>
        <w:rPr>
          <w:color w:val="auto"/>
        </w:rPr>
      </w:pPr>
      <w:r>
        <w:rPr>
          <w:color w:val="auto"/>
        </w:rPr>
        <w:t>喷射回弹率  rebound ratio of spraying</w:t>
      </w:r>
    </w:p>
    <w:p>
      <w:pPr>
        <w:ind w:firstLine="420"/>
        <w:rPr>
          <w:color w:val="auto"/>
        </w:rPr>
      </w:pPr>
      <w:r>
        <w:rPr>
          <w:color w:val="auto"/>
        </w:rPr>
        <w:t>喷射时，喷嘴喷出未粘结在受喷面上的溅落拌和物与总喷出拌和物的质量百分比。</w:t>
      </w:r>
    </w:p>
    <w:p>
      <w:pPr>
        <w:pStyle w:val="48"/>
        <w:numPr>
          <w:ilvl w:val="0"/>
          <w:numId w:val="5"/>
        </w:numPr>
        <w:rPr>
          <w:color w:val="auto"/>
        </w:rPr>
      </w:pPr>
      <w:r>
        <w:rPr>
          <w:color w:val="auto"/>
        </w:rPr>
        <w:t>低碱速凝剂 low-alkali accelerator</w:t>
      </w:r>
    </w:p>
    <w:p>
      <w:pPr>
        <w:ind w:firstLine="480"/>
        <w:rPr>
          <w:color w:val="auto"/>
        </w:rPr>
      </w:pPr>
      <w:r>
        <w:rPr>
          <w:color w:val="auto"/>
        </w:rPr>
        <w:t>总碱含量大于1.0%且不大于5.0%的速凝剂，以Na</w:t>
      </w:r>
      <w:r>
        <w:rPr>
          <w:color w:val="auto"/>
          <w:vertAlign w:val="subscript"/>
        </w:rPr>
        <w:t>2</w:t>
      </w:r>
      <w:r>
        <w:rPr>
          <w:color w:val="auto"/>
        </w:rPr>
        <w:t>O当量计。</w:t>
      </w:r>
    </w:p>
    <w:p>
      <w:pPr>
        <w:pStyle w:val="48"/>
        <w:numPr>
          <w:ilvl w:val="0"/>
          <w:numId w:val="5"/>
        </w:numPr>
        <w:rPr>
          <w:color w:val="auto"/>
        </w:rPr>
      </w:pPr>
      <w:r>
        <w:rPr>
          <w:color w:val="auto"/>
        </w:rPr>
        <w:t>无碱速凝剂  alkali-free accelerator</w:t>
      </w:r>
    </w:p>
    <w:p>
      <w:pPr>
        <w:rPr>
          <w:color w:val="auto"/>
        </w:rPr>
      </w:pPr>
      <w:r>
        <w:rPr>
          <w:color w:val="auto"/>
        </w:rPr>
        <w:t xml:space="preserve">    总碱含量不大于1.0%的速凝剂，以Na</w:t>
      </w:r>
      <w:r>
        <w:rPr>
          <w:color w:val="auto"/>
          <w:vertAlign w:val="subscript"/>
        </w:rPr>
        <w:t>2</w:t>
      </w:r>
      <w:r>
        <w:rPr>
          <w:color w:val="auto"/>
        </w:rPr>
        <w:t>O当量计。</w:t>
      </w:r>
    </w:p>
    <w:p>
      <w:pPr>
        <w:pStyle w:val="48"/>
        <w:numPr>
          <w:ilvl w:val="0"/>
          <w:numId w:val="5"/>
        </w:numPr>
        <w:rPr>
          <w:color w:val="auto"/>
        </w:rPr>
      </w:pPr>
      <w:r>
        <w:rPr>
          <w:color w:val="auto"/>
        </w:rPr>
        <w:t xml:space="preserve">混凝土湿喷机  concrete spraying machine  </w:t>
      </w:r>
    </w:p>
    <w:p>
      <w:pPr>
        <w:ind w:firstLine="480"/>
        <w:rPr>
          <w:color w:val="auto"/>
        </w:rPr>
      </w:pPr>
      <w:r>
        <w:rPr>
          <w:color w:val="auto"/>
        </w:rPr>
        <w:t>将按一定比例拌和的混凝土拌和物通过喷射臂喷射至受喷面，并形成喷射混凝土支护层的机械设备。</w:t>
      </w:r>
    </w:p>
    <w:p>
      <w:pPr>
        <w:pStyle w:val="3"/>
        <w:keepNext/>
        <w:keepLines/>
        <w:spacing w:before="360" w:beforeLines="0" w:after="360" w:afterLines="0" w:line="400" w:lineRule="atLeast"/>
        <w:rPr>
          <w:rFonts w:eastAsia="黑体"/>
          <w:b w:val="0"/>
          <w:color w:val="auto"/>
          <w:sz w:val="24"/>
          <w:szCs w:val="24"/>
        </w:rPr>
      </w:pPr>
      <w:bookmarkStart w:id="3" w:name="_Toc1658224"/>
      <w:r>
        <w:rPr>
          <w:rFonts w:eastAsia="黑体"/>
          <w:b w:val="0"/>
          <w:color w:val="auto"/>
          <w:sz w:val="24"/>
          <w:szCs w:val="24"/>
        </w:rPr>
        <w:t>2.2  符  号</w:t>
      </w:r>
      <w:bookmarkEnd w:id="3"/>
    </w:p>
    <w:p>
      <w:pPr>
        <w:ind w:firstLine="424" w:firstLineChars="177"/>
        <w:jc w:val="left"/>
        <w:rPr>
          <w:color w:val="auto"/>
          <w:szCs w:val="24"/>
        </w:rPr>
      </w:pPr>
      <w:r>
        <w:rPr>
          <w:color w:val="auto"/>
          <w:position w:val="-12"/>
          <w:szCs w:val="24"/>
        </w:rPr>
        <w:object>
          <v:shape id="_x0000_i1025" o:spt="75" type="#_x0000_t75" style="height:18.55pt;width:22.1pt;" o:ole="t" filled="f" o:preferrelative="t" stroked="f" coordsize="21600,21600">
            <v:path/>
            <v:fill on="f" focussize="0,0"/>
            <v:stroke on="f" joinstyle="miter"/>
            <v:imagedata r:id="rId14" o:title=""/>
            <o:lock v:ext="edit" aspectratio="t"/>
            <w10:wrap type="none"/>
            <w10:anchorlock/>
          </v:shape>
          <o:OLEObject Type="Embed" ProgID="Equation.3" ShapeID="_x0000_i1025" DrawAspect="Content" ObjectID="_1468075725" r:id="rId13">
            <o:LockedField>false</o:LockedField>
          </o:OLEObject>
        </w:object>
      </w:r>
      <w:r>
        <w:rPr>
          <w:color w:val="auto"/>
          <w:szCs w:val="24"/>
        </w:rPr>
        <w:t>——喷射混凝土配制强度值（MPa）。</w:t>
      </w:r>
    </w:p>
    <w:p>
      <w:pPr>
        <w:ind w:firstLine="424" w:firstLineChars="177"/>
        <w:jc w:val="left"/>
        <w:rPr>
          <w:color w:val="auto"/>
          <w:szCs w:val="24"/>
        </w:rPr>
      </w:pPr>
      <w:r>
        <w:rPr>
          <w:color w:val="auto"/>
          <w:szCs w:val="24"/>
        </w:rPr>
        <w:object>
          <v:shape id="_x0000_i1026" o:spt="75" type="#_x0000_t75" style="height:19.95pt;width:24.25pt;" o:ole="t" filled="f" o:preferrelative="t" stroked="f" coordsize="21600,21600">
            <v:path/>
            <v:fill on="f" focussize="0,0"/>
            <v:stroke on="f" joinstyle="miter"/>
            <v:imagedata r:id="rId16" o:title=""/>
            <o:lock v:ext="edit" aspectratio="t"/>
            <w10:wrap type="none"/>
            <w10:anchorlock/>
          </v:shape>
          <o:OLEObject Type="Embed" ProgID="Equation.3" ShapeID="_x0000_i1026" DrawAspect="Content" ObjectID="_1468075726" r:id="rId15">
            <o:LockedField>false</o:LockedField>
          </o:OLEObject>
        </w:object>
      </w:r>
      <w:r>
        <w:rPr>
          <w:color w:val="auto"/>
          <w:szCs w:val="24"/>
        </w:rPr>
        <w:t>——喷射混凝土立方体抗压强度标准值（MPa）。</w:t>
      </w:r>
    </w:p>
    <w:p>
      <w:pPr>
        <w:ind w:firstLine="424" w:firstLineChars="177"/>
        <w:jc w:val="left"/>
        <w:rPr>
          <w:color w:val="auto"/>
          <w:szCs w:val="24"/>
        </w:rPr>
      </w:pPr>
      <w:r>
        <w:rPr>
          <w:color w:val="auto"/>
          <w:szCs w:val="24"/>
        </w:rPr>
        <w:t>σ——混凝土强度标准差（MPa）。</w:t>
      </w:r>
    </w:p>
    <w:p>
      <w:pPr>
        <w:ind w:firstLine="424" w:firstLineChars="177"/>
        <w:jc w:val="left"/>
        <w:rPr>
          <w:color w:val="auto"/>
          <w:szCs w:val="24"/>
        </w:rPr>
      </w:pPr>
      <w:r>
        <w:rPr>
          <w:color w:val="auto"/>
          <w:position w:val="-10"/>
          <w:szCs w:val="24"/>
        </w:rPr>
        <w:object>
          <v:shape id="_x0000_i1027" o:spt="75" type="#_x0000_t75" style="height:17.1pt;width:33.5pt;" o:ole="t" filled="f" o:preferrelative="t" stroked="f" coordsize="21600,21600">
            <v:path/>
            <v:fill on="f" focussize="0,0"/>
            <v:stroke on="f" joinstyle="miter"/>
            <v:imagedata r:id="rId18" o:title=""/>
            <o:lock v:ext="edit" aspectratio="t"/>
            <w10:wrap type="none"/>
            <w10:anchorlock/>
          </v:shape>
          <o:OLEObject Type="Embed" ProgID="Equation.3" ShapeID="_x0000_i1027" DrawAspect="Content" ObjectID="_1468075727" r:id="rId17">
            <o:LockedField>false</o:LockedField>
          </o:OLEObject>
        </w:object>
      </w:r>
      <w:r>
        <w:rPr>
          <w:color w:val="auto"/>
          <w:szCs w:val="24"/>
        </w:rPr>
        <w:t>——混凝土水胶比计算公式中的回归系数。</w:t>
      </w:r>
    </w:p>
    <w:p>
      <w:pPr>
        <w:ind w:firstLine="424" w:firstLineChars="177"/>
        <w:jc w:val="left"/>
        <w:rPr>
          <w:color w:val="auto"/>
          <w:szCs w:val="24"/>
        </w:rPr>
      </w:pPr>
      <w:r>
        <w:rPr>
          <w:color w:val="auto"/>
          <w:position w:val="-10"/>
          <w:szCs w:val="24"/>
        </w:rPr>
        <w:object>
          <v:shape id="_x0000_i1028" o:spt="75" type="#_x0000_t75" style="height:16.4pt;width:13.55pt;" o:ole="t" filled="f" o:preferrelative="t" stroked="f" coordsize="21600,21600">
            <v:path/>
            <v:fill on="f" focussize="0,0"/>
            <v:stroke on="f" joinstyle="miter"/>
            <v:imagedata r:id="rId20" o:title=""/>
            <o:lock v:ext="edit" aspectratio="t"/>
            <w10:wrap type="none"/>
            <w10:anchorlock/>
          </v:shape>
          <o:OLEObject Type="Embed" ProgID="Equation.3" ShapeID="_x0000_i1028" DrawAspect="Content" ObjectID="_1468075728" r:id="rId19">
            <o:LockedField>false</o:LockedField>
          </o:OLEObject>
        </w:object>
      </w:r>
      <w:r>
        <w:rPr>
          <w:color w:val="auto"/>
          <w:szCs w:val="24"/>
        </w:rPr>
        <w:t>——混凝土密实性系数 。</w:t>
      </w:r>
    </w:p>
    <w:p>
      <w:pPr>
        <w:ind w:firstLine="424" w:firstLineChars="177"/>
        <w:jc w:val="left"/>
        <w:rPr>
          <w:color w:val="auto"/>
          <w:szCs w:val="24"/>
        </w:rPr>
      </w:pPr>
      <w:r>
        <w:rPr>
          <w:color w:val="auto"/>
          <w:position w:val="-10"/>
          <w:szCs w:val="24"/>
        </w:rPr>
        <w:object>
          <v:shape id="_x0000_i1029" o:spt="75" type="#_x0000_t75" style="height:16.4pt;width:13.55pt;" o:ole="t" filled="f" o:preferrelative="t" stroked="f" coordsize="21600,21600">
            <v:path/>
            <v:fill on="f" focussize="0,0"/>
            <v:stroke on="f" joinstyle="miter"/>
            <v:imagedata r:id="rId22" o:title=""/>
            <o:lock v:ext="edit" aspectratio="t"/>
            <w10:wrap type="none"/>
            <w10:anchorlock/>
          </v:shape>
          <o:OLEObject Type="Embed" ProgID="Equation.3" ShapeID="_x0000_i1029" DrawAspect="Content" ObjectID="_1468075729" r:id="rId21">
            <o:LockedField>false</o:LockedField>
          </o:OLEObject>
        </w:object>
      </w:r>
      <w:r>
        <w:rPr>
          <w:color w:val="auto"/>
          <w:szCs w:val="24"/>
        </w:rPr>
        <w:t>——速凝剂强度影响系数。</w:t>
      </w:r>
    </w:p>
    <w:p>
      <w:pPr>
        <w:ind w:firstLine="424" w:firstLineChars="177"/>
        <w:jc w:val="left"/>
        <w:rPr>
          <w:color w:val="auto"/>
          <w:szCs w:val="24"/>
        </w:rPr>
      </w:pPr>
      <w:r>
        <w:rPr>
          <w:color w:val="auto"/>
          <w:position w:val="-10"/>
          <w:szCs w:val="24"/>
        </w:rPr>
        <w:object>
          <v:shape id="_x0000_i1030" o:spt="75" type="#_x0000_t75" style="height:16.4pt;width:13.55pt;" o:ole="t" filled="f" o:preferrelative="t" stroked="f" coordsize="21600,21600">
            <v:path/>
            <v:fill on="f" focussize="0,0"/>
            <v:stroke on="f" joinstyle="miter"/>
            <v:imagedata r:id="rId24" o:title=""/>
            <o:lock v:ext="edit" aspectratio="t"/>
            <w10:wrap type="none"/>
            <w10:anchorlock/>
          </v:shape>
          <o:OLEObject Type="Embed" ProgID="Equation.3" ShapeID="_x0000_i1030" DrawAspect="Content" ObjectID="_1468075730" r:id="rId23">
            <o:LockedField>false</o:LockedField>
          </o:OLEObject>
        </w:object>
      </w:r>
      <w:r>
        <w:rPr>
          <w:color w:val="auto"/>
          <w:szCs w:val="24"/>
        </w:rPr>
        <w:t>——胶凝材料28d胶砂抗压强度（MPa）。</w:t>
      </w:r>
    </w:p>
    <w:p>
      <w:pPr>
        <w:ind w:firstLine="424" w:firstLineChars="177"/>
        <w:jc w:val="left"/>
        <w:rPr>
          <w:color w:val="auto"/>
          <w:szCs w:val="28"/>
        </w:rPr>
      </w:pPr>
      <m:oMath>
        <m:sSub>
          <m:sSubPr>
            <m:ctrlPr>
              <w:rPr>
                <w:rFonts w:ascii="Cambria Math" w:hAnsi="Cambria Math"/>
                <w:i/>
                <w:color w:val="auto"/>
                <w:szCs w:val="28"/>
              </w:rPr>
            </m:ctrlPr>
          </m:sSubPr>
          <m:e>
            <m:r>
              <w:rPr>
                <w:rFonts w:ascii="Cambria Math" w:hAnsi="Cambria Math"/>
                <w:color w:val="auto"/>
                <w:szCs w:val="28"/>
              </w:rPr>
              <m:t>L</m:t>
            </m:r>
            <m:ctrlPr>
              <w:rPr>
                <w:rFonts w:ascii="Cambria Math" w:hAnsi="Cambria Math"/>
                <w:i/>
                <w:color w:val="auto"/>
                <w:szCs w:val="28"/>
              </w:rPr>
            </m:ctrlPr>
          </m:e>
          <m:sub>
            <m:r>
              <w:rPr>
                <w:rFonts w:ascii="Cambria Math" w:hAnsi="Cambria Math"/>
                <w:color w:val="auto"/>
                <w:szCs w:val="28"/>
              </w:rPr>
              <m:t>a</m:t>
            </m:r>
            <m:ctrlPr>
              <w:rPr>
                <w:rFonts w:ascii="Cambria Math" w:hAnsi="Cambria Math"/>
                <w:i/>
                <w:color w:val="auto"/>
                <w:szCs w:val="28"/>
              </w:rPr>
            </m:ctrlPr>
          </m:sub>
        </m:sSub>
      </m:oMath>
      <w:r>
        <w:rPr>
          <w:color w:val="auto"/>
          <w:szCs w:val="28"/>
        </w:rPr>
        <w:t>——测区测钉射入深度平均值</w:t>
      </w:r>
      <w:r>
        <w:rPr>
          <w:rFonts w:hint="eastAsia"/>
          <w:color w:val="auto"/>
          <w:szCs w:val="28"/>
        </w:rPr>
        <w:t>。</w:t>
      </w:r>
    </w:p>
    <w:p>
      <w:pPr>
        <w:ind w:firstLine="424" w:firstLineChars="177"/>
        <w:jc w:val="left"/>
        <w:rPr>
          <w:color w:val="auto"/>
          <w:szCs w:val="28"/>
        </w:rPr>
      </w:pPr>
      <m:oMath>
        <m:sSub>
          <m:sSubPr>
            <m:ctrlPr>
              <w:rPr>
                <w:rFonts w:ascii="Cambria Math" w:hAnsi="Cambria Math"/>
                <w:i/>
                <w:color w:val="auto"/>
                <w:szCs w:val="28"/>
              </w:rPr>
            </m:ctrlPr>
          </m:sSubPr>
          <m:e>
            <m:r>
              <w:rPr>
                <w:rFonts w:ascii="Cambria Math" w:hAnsi="Cambria Math"/>
                <w:color w:val="auto"/>
                <w:szCs w:val="28"/>
              </w:rPr>
              <m:t>L</m:t>
            </m:r>
            <m:ctrlPr>
              <w:rPr>
                <w:rFonts w:ascii="Cambria Math" w:hAnsi="Cambria Math"/>
                <w:i/>
                <w:color w:val="auto"/>
                <w:szCs w:val="28"/>
              </w:rPr>
            </m:ctrlPr>
          </m:e>
          <m:sub>
            <m:r>
              <w:rPr>
                <w:rFonts w:hint="eastAsia" w:ascii="Cambria Math" w:hAnsi="Cambria Math"/>
                <w:color w:val="auto"/>
                <w:szCs w:val="28"/>
              </w:rPr>
              <m:t>i</m:t>
            </m:r>
            <m:ctrlPr>
              <w:rPr>
                <w:rFonts w:ascii="Cambria Math" w:hAnsi="Cambria Math"/>
                <w:i/>
                <w:color w:val="auto"/>
                <w:szCs w:val="28"/>
              </w:rPr>
            </m:ctrlPr>
          </m:sub>
        </m:sSub>
      </m:oMath>
      <w:r>
        <w:rPr>
          <w:color w:val="auto"/>
          <w:szCs w:val="28"/>
        </w:rPr>
        <w:t>——第</w:t>
      </w:r>
      <w:r>
        <w:rPr>
          <w:i/>
          <w:color w:val="auto"/>
          <w:szCs w:val="28"/>
        </w:rPr>
        <w:t>i</w:t>
      </w:r>
      <w:r>
        <w:rPr>
          <w:color w:val="auto"/>
          <w:szCs w:val="28"/>
        </w:rPr>
        <w:t>个测点的射入深度。</w:t>
      </w:r>
    </w:p>
    <w:p>
      <w:pPr>
        <w:ind w:firstLine="480"/>
        <w:jc w:val="left"/>
        <w:rPr>
          <w:color w:val="auto"/>
          <w:szCs w:val="24"/>
        </w:rPr>
      </w:pPr>
    </w:p>
    <w:p>
      <w:pPr>
        <w:widowControl/>
        <w:spacing w:line="240" w:lineRule="auto"/>
        <w:jc w:val="left"/>
        <w:rPr>
          <w:color w:val="auto"/>
          <w:szCs w:val="24"/>
        </w:rPr>
      </w:pPr>
      <w:r>
        <w:rPr>
          <w:color w:val="auto"/>
          <w:szCs w:val="24"/>
        </w:rPr>
        <w:br w:type="page"/>
      </w:r>
    </w:p>
    <w:p>
      <w:pPr>
        <w:pStyle w:val="2"/>
        <w:pageBreakBefore/>
        <w:spacing w:before="600" w:beforeLines="0" w:after="600" w:afterLines="0" w:line="400" w:lineRule="exact"/>
        <w:rPr>
          <w:rFonts w:eastAsia="黑体"/>
          <w:b w:val="0"/>
          <w:color w:val="auto"/>
          <w:sz w:val="32"/>
        </w:rPr>
      </w:pPr>
      <w:bookmarkStart w:id="4" w:name="_Toc1658225"/>
      <w:r>
        <w:rPr>
          <w:rFonts w:eastAsia="黑体"/>
          <w:b w:val="0"/>
          <w:color w:val="auto"/>
          <w:sz w:val="32"/>
        </w:rPr>
        <w:t>3 基本规定</w:t>
      </w:r>
      <w:bookmarkEnd w:id="4"/>
    </w:p>
    <w:p>
      <w:pPr>
        <w:pStyle w:val="3"/>
        <w:keepNext/>
        <w:keepLines/>
        <w:spacing w:before="360" w:beforeLines="0" w:after="360" w:afterLines="0" w:line="400" w:lineRule="atLeast"/>
        <w:rPr>
          <w:rFonts w:eastAsia="黑体"/>
          <w:b w:val="0"/>
          <w:color w:val="auto"/>
          <w:sz w:val="24"/>
          <w:szCs w:val="24"/>
        </w:rPr>
      </w:pPr>
      <w:bookmarkStart w:id="5" w:name="_Toc534722382"/>
      <w:bookmarkStart w:id="6" w:name="_Toc1658226"/>
      <w:r>
        <w:rPr>
          <w:rFonts w:eastAsia="黑体"/>
          <w:b w:val="0"/>
          <w:color w:val="auto"/>
          <w:sz w:val="24"/>
          <w:szCs w:val="24"/>
        </w:rPr>
        <w:t>3.1  一般规定</w:t>
      </w:r>
      <w:bookmarkEnd w:id="5"/>
      <w:bookmarkEnd w:id="6"/>
    </w:p>
    <w:p>
      <w:pPr>
        <w:pStyle w:val="178"/>
        <w:numPr>
          <w:ilvl w:val="0"/>
          <w:numId w:val="6"/>
        </w:numPr>
        <w:rPr>
          <w:color w:val="auto"/>
        </w:rPr>
      </w:pPr>
      <w:r>
        <w:rPr>
          <w:rFonts w:hint="eastAsia"/>
          <w:color w:val="auto"/>
        </w:rPr>
        <w:t>铁路隧道湿喷混凝土应建立健全</w:t>
      </w:r>
      <w:r>
        <w:rPr>
          <w:rFonts w:hint="eastAsia" w:cs="仿宋" w:asciiTheme="minorEastAsia" w:hAnsiTheme="minorEastAsia" w:eastAsiaTheme="minorEastAsia"/>
          <w:color w:val="auto"/>
        </w:rPr>
        <w:t>质量保证、安全生产、环境保护管理体系及职业健康管理制度，对工程施工质量、安全、环保及职业健康进行全过程控制</w:t>
      </w:r>
      <w:r>
        <w:rPr>
          <w:rFonts w:hint="eastAsia"/>
          <w:color w:val="auto"/>
        </w:rPr>
        <w:t>。</w:t>
      </w:r>
    </w:p>
    <w:p>
      <w:pPr>
        <w:pStyle w:val="48"/>
        <w:numPr>
          <w:ilvl w:val="0"/>
          <w:numId w:val="6"/>
        </w:numPr>
        <w:ind w:left="0" w:firstLine="0"/>
        <w:rPr>
          <w:color w:val="auto"/>
        </w:rPr>
      </w:pPr>
      <w:r>
        <w:rPr>
          <w:rFonts w:hint="eastAsia"/>
          <w:color w:val="auto"/>
        </w:rPr>
        <w:t>湿喷混凝土施工前应编制施工作业指导书，明确施工作业标准和工艺、安全要求。</w:t>
      </w:r>
    </w:p>
    <w:p>
      <w:pPr>
        <w:pStyle w:val="3"/>
        <w:keepNext/>
        <w:keepLines/>
        <w:spacing w:before="360" w:beforeLines="0" w:after="360" w:afterLines="0" w:line="400" w:lineRule="atLeast"/>
        <w:rPr>
          <w:rFonts w:eastAsia="黑体"/>
          <w:b w:val="0"/>
          <w:color w:val="auto"/>
          <w:sz w:val="24"/>
          <w:szCs w:val="24"/>
        </w:rPr>
      </w:pPr>
      <w:bookmarkStart w:id="7" w:name="_Toc523754711"/>
      <w:bookmarkStart w:id="8" w:name="_Toc1658227"/>
      <w:bookmarkStart w:id="9" w:name="_Toc523754712"/>
      <w:r>
        <w:rPr>
          <w:rFonts w:eastAsia="黑体"/>
          <w:b w:val="0"/>
          <w:color w:val="auto"/>
          <w:sz w:val="24"/>
          <w:szCs w:val="24"/>
        </w:rPr>
        <w:t xml:space="preserve">3.2 </w:t>
      </w:r>
      <w:bookmarkEnd w:id="7"/>
      <w:r>
        <w:rPr>
          <w:rFonts w:eastAsia="黑体"/>
          <w:b w:val="0"/>
          <w:color w:val="auto"/>
          <w:sz w:val="24"/>
          <w:szCs w:val="24"/>
        </w:rPr>
        <w:t xml:space="preserve"> 建设管理要求</w:t>
      </w:r>
      <w:bookmarkEnd w:id="8"/>
    </w:p>
    <w:p>
      <w:pPr>
        <w:pStyle w:val="48"/>
        <w:numPr>
          <w:ilvl w:val="0"/>
          <w:numId w:val="7"/>
        </w:numPr>
        <w:ind w:left="0" w:firstLine="0"/>
        <w:jc w:val="left"/>
        <w:rPr>
          <w:color w:val="auto"/>
        </w:rPr>
      </w:pPr>
      <w:r>
        <w:rPr>
          <w:color w:val="auto"/>
        </w:rPr>
        <w:t>铁路隧道湿喷混凝土施工管理流程图见图3.2.1所示。</w:t>
      </w:r>
    </w:p>
    <w:p>
      <w:pPr>
        <w:jc w:val="center"/>
        <w:rPr>
          <w:b/>
          <w:color w:val="auto"/>
        </w:rPr>
      </w:pPr>
      <w:r>
        <w:rPr>
          <w:color w:val="auto"/>
        </w:rPr>
        <w:object>
          <v:shape id="_x0000_i1031" o:spt="75" type="#_x0000_t75" style="height:253.05pt;width:305.8pt;" o:ole="t" filled="f" o:preferrelative="t" stroked="f" coordsize="21600,21600">
            <v:path/>
            <v:fill on="f" focussize="0,0"/>
            <v:stroke on="f" joinstyle="miter"/>
            <v:imagedata r:id="rId26" o:title=""/>
            <o:lock v:ext="edit" aspectratio="t"/>
            <w10:wrap type="none"/>
            <w10:anchorlock/>
          </v:shape>
          <o:OLEObject Type="Embed" ProgID="Visio.Drawing.11" ShapeID="_x0000_i1031" DrawAspect="Content" ObjectID="_1468075731" r:id="rId25">
            <o:LockedField>false</o:LockedField>
          </o:OLEObject>
        </w:object>
      </w:r>
    </w:p>
    <w:p>
      <w:pPr>
        <w:spacing w:after="100" w:afterAutospacing="1"/>
        <w:jc w:val="center"/>
        <w:rPr>
          <w:rFonts w:eastAsia="黑体"/>
          <w:color w:val="auto"/>
          <w:sz w:val="21"/>
          <w:szCs w:val="21"/>
        </w:rPr>
      </w:pPr>
      <w:r>
        <w:rPr>
          <w:rFonts w:eastAsia="黑体"/>
          <w:color w:val="auto"/>
          <w:sz w:val="21"/>
          <w:szCs w:val="21"/>
        </w:rPr>
        <w:t>图3.2.1  铁路隧道湿喷混凝土施工管理流程图</w:t>
      </w:r>
    </w:p>
    <w:p>
      <w:pPr>
        <w:pStyle w:val="178"/>
        <w:numPr>
          <w:ilvl w:val="0"/>
          <w:numId w:val="7"/>
        </w:numPr>
        <w:ind w:left="0" w:firstLine="0"/>
        <w:jc w:val="left"/>
        <w:rPr>
          <w:color w:val="auto"/>
        </w:rPr>
      </w:pPr>
      <w:r>
        <w:rPr>
          <w:rFonts w:hint="eastAsia"/>
          <w:color w:val="auto"/>
        </w:rPr>
        <w:t>建设单位应对湿喷混凝土施工进行监督检查工作。</w:t>
      </w:r>
    </w:p>
    <w:p>
      <w:pPr>
        <w:pStyle w:val="178"/>
        <w:numPr>
          <w:ilvl w:val="0"/>
          <w:numId w:val="7"/>
        </w:numPr>
        <w:rPr>
          <w:color w:val="auto"/>
        </w:rPr>
      </w:pPr>
      <w:r>
        <w:rPr>
          <w:rFonts w:hint="eastAsia"/>
          <w:color w:val="auto"/>
        </w:rPr>
        <w:t>设计单位应根据地勘资料、超前地质预报和隧道开挖揭示的地质变化情况，及时调整湿喷混凝土设计参数。</w:t>
      </w:r>
    </w:p>
    <w:p>
      <w:pPr>
        <w:pStyle w:val="48"/>
        <w:numPr>
          <w:ilvl w:val="0"/>
          <w:numId w:val="7"/>
        </w:numPr>
        <w:jc w:val="left"/>
        <w:rPr>
          <w:color w:val="auto"/>
        </w:rPr>
      </w:pPr>
      <w:r>
        <w:rPr>
          <w:color w:val="auto"/>
        </w:rPr>
        <w:t>监理单位应重点做好以下工作：</w:t>
      </w:r>
    </w:p>
    <w:p>
      <w:pPr>
        <w:ind w:firstLine="482" w:firstLineChars="200"/>
        <w:rPr>
          <w:color w:val="auto"/>
        </w:rPr>
      </w:pPr>
      <w:r>
        <w:rPr>
          <w:rFonts w:eastAsia="黑体"/>
          <w:b/>
          <w:bCs/>
          <w:color w:val="auto"/>
        </w:rPr>
        <w:t xml:space="preserve">1 </w:t>
      </w:r>
      <w:r>
        <w:rPr>
          <w:rFonts w:hint="eastAsia"/>
          <w:color w:val="auto"/>
        </w:rPr>
        <w:t>对湿喷混凝土机械设备、所用各类材料进行进场验收、现场抽检和验收。</w:t>
      </w:r>
    </w:p>
    <w:p>
      <w:pPr>
        <w:ind w:firstLine="482" w:firstLineChars="200"/>
        <w:rPr>
          <w:color w:val="auto"/>
        </w:rPr>
      </w:pPr>
      <w:r>
        <w:rPr>
          <w:rFonts w:eastAsia="黑体"/>
          <w:b/>
          <w:bCs/>
          <w:color w:val="auto"/>
        </w:rPr>
        <w:t>2</w:t>
      </w:r>
      <w:r>
        <w:rPr>
          <w:rFonts w:hint="eastAsia"/>
          <w:color w:val="auto"/>
        </w:rPr>
        <w:t>对施工单位上报的湿喷混凝土施工工艺试验大纲、作业指导书进行审批。</w:t>
      </w:r>
    </w:p>
    <w:p>
      <w:pPr>
        <w:ind w:firstLine="482" w:firstLineChars="200"/>
        <w:rPr>
          <w:rFonts w:eastAsia="黑体"/>
          <w:b/>
          <w:bCs/>
          <w:color w:val="auto"/>
          <w:szCs w:val="24"/>
        </w:rPr>
      </w:pPr>
      <w:r>
        <w:rPr>
          <w:rFonts w:hint="eastAsia" w:eastAsia="黑体"/>
          <w:b/>
          <w:bCs/>
          <w:color w:val="auto"/>
        </w:rPr>
        <w:t xml:space="preserve">3  </w:t>
      </w:r>
      <w:r>
        <w:rPr>
          <w:rFonts w:hint="eastAsia"/>
          <w:color w:val="auto"/>
        </w:rPr>
        <w:t>对湿喷混凝土施工工艺试验、湿喷混凝土结构施工过程、实体质量检测等进行现场监理。</w:t>
      </w:r>
    </w:p>
    <w:p>
      <w:pPr>
        <w:pStyle w:val="48"/>
        <w:numPr>
          <w:ilvl w:val="0"/>
          <w:numId w:val="7"/>
        </w:numPr>
        <w:jc w:val="left"/>
        <w:rPr>
          <w:color w:val="auto"/>
        </w:rPr>
      </w:pPr>
      <w:r>
        <w:rPr>
          <w:color w:val="auto"/>
        </w:rPr>
        <w:t>施工单位应重点做好以下工作：</w:t>
      </w:r>
    </w:p>
    <w:p>
      <w:pPr>
        <w:ind w:firstLine="482" w:firstLineChars="200"/>
        <w:rPr>
          <w:color w:val="auto"/>
        </w:rPr>
      </w:pPr>
      <w:r>
        <w:rPr>
          <w:rFonts w:eastAsia="黑体"/>
          <w:b/>
          <w:bCs/>
          <w:color w:val="auto"/>
        </w:rPr>
        <w:t>1</w:t>
      </w:r>
      <w:r>
        <w:rPr>
          <w:rFonts w:hint="eastAsia"/>
          <w:color w:val="auto"/>
        </w:rPr>
        <w:t>结合设计要求和工程特点，配备湿喷混凝土专用机械设备。</w:t>
      </w:r>
    </w:p>
    <w:p>
      <w:pPr>
        <w:ind w:firstLine="482" w:firstLineChars="200"/>
        <w:rPr>
          <w:color w:val="auto"/>
        </w:rPr>
      </w:pPr>
      <w:r>
        <w:rPr>
          <w:rFonts w:eastAsia="黑体"/>
          <w:b/>
          <w:bCs/>
          <w:color w:val="auto"/>
        </w:rPr>
        <w:t>2</w:t>
      </w:r>
      <w:r>
        <w:rPr>
          <w:rFonts w:hint="eastAsia"/>
          <w:color w:val="auto"/>
        </w:rPr>
        <w:t>编制隧道湿喷混凝土施工工艺试验大纲、作业指导书，进行工艺试验和施工作业指导书修订。</w:t>
      </w:r>
    </w:p>
    <w:p>
      <w:pPr>
        <w:ind w:firstLine="482" w:firstLineChars="200"/>
        <w:rPr>
          <w:color w:val="auto"/>
        </w:rPr>
      </w:pPr>
      <w:r>
        <w:rPr>
          <w:rFonts w:eastAsia="黑体"/>
          <w:b/>
          <w:bCs/>
          <w:color w:val="auto"/>
        </w:rPr>
        <w:t>3</w:t>
      </w:r>
      <w:r>
        <w:rPr>
          <w:rFonts w:hint="eastAsia"/>
          <w:color w:val="auto"/>
        </w:rPr>
        <w:t>组织专业班组进行施工，按照内部质量控制体系确保湿喷混凝土施工工序质量受控。</w:t>
      </w:r>
    </w:p>
    <w:p>
      <w:pPr>
        <w:ind w:firstLine="482" w:firstLineChars="200"/>
        <w:rPr>
          <w:color w:val="auto"/>
        </w:rPr>
      </w:pPr>
      <w:r>
        <w:rPr>
          <w:rFonts w:eastAsia="黑体"/>
          <w:b/>
          <w:bCs/>
          <w:color w:val="auto"/>
        </w:rPr>
        <w:t>4</w:t>
      </w:r>
      <w:r>
        <w:rPr>
          <w:rFonts w:hint="eastAsia"/>
          <w:color w:val="auto"/>
        </w:rPr>
        <w:t>对湿喷混凝土各类材料进行进场检验，对湿喷混凝土成型结构进行自检。</w:t>
      </w:r>
    </w:p>
    <w:p>
      <w:pPr>
        <w:tabs>
          <w:tab w:val="left" w:pos="6486"/>
        </w:tabs>
        <w:spacing w:line="400" w:lineRule="atLeast"/>
        <w:ind w:firstLine="360" w:firstLineChars="150"/>
        <w:jc w:val="left"/>
        <w:rPr>
          <w:color w:val="auto"/>
        </w:rPr>
      </w:pPr>
      <w:r>
        <w:rPr>
          <w:color w:val="auto"/>
        </w:rPr>
        <w:tab/>
      </w:r>
    </w:p>
    <w:bookmarkEnd w:id="9"/>
    <w:p>
      <w:pPr>
        <w:pStyle w:val="3"/>
        <w:keepNext/>
        <w:keepLines/>
        <w:spacing w:before="360" w:beforeLines="0" w:after="360" w:afterLines="0" w:line="400" w:lineRule="atLeast"/>
        <w:rPr>
          <w:rFonts w:eastAsia="黑体"/>
          <w:b w:val="0"/>
          <w:color w:val="auto"/>
          <w:sz w:val="24"/>
          <w:szCs w:val="24"/>
        </w:rPr>
      </w:pPr>
      <w:bookmarkStart w:id="10" w:name="_Toc1658228"/>
      <w:r>
        <w:rPr>
          <w:rFonts w:eastAsia="黑体"/>
          <w:b w:val="0"/>
          <w:color w:val="auto"/>
          <w:sz w:val="24"/>
          <w:szCs w:val="24"/>
        </w:rPr>
        <w:t>3.3  四化要求</w:t>
      </w:r>
      <w:bookmarkEnd w:id="10"/>
    </w:p>
    <w:p>
      <w:pPr>
        <w:pStyle w:val="48"/>
        <w:numPr>
          <w:ilvl w:val="0"/>
          <w:numId w:val="8"/>
        </w:numPr>
        <w:ind w:left="0" w:firstLine="0"/>
        <w:jc w:val="left"/>
        <w:rPr>
          <w:color w:val="auto"/>
        </w:rPr>
      </w:pPr>
      <w:r>
        <w:rPr>
          <w:rFonts w:hint="eastAsia"/>
          <w:color w:val="auto"/>
        </w:rPr>
        <w:t>铁路隧道湿喷混凝土施工应推行机械化作业，实现信息化管理，根据工程特点和现场情况，配备湿喷混凝专用设备，提高施工质量水平。</w:t>
      </w:r>
    </w:p>
    <w:p>
      <w:pPr>
        <w:pStyle w:val="48"/>
        <w:numPr>
          <w:ilvl w:val="0"/>
          <w:numId w:val="8"/>
        </w:numPr>
        <w:ind w:left="0" w:firstLine="0"/>
        <w:jc w:val="left"/>
        <w:rPr>
          <w:color w:val="auto"/>
        </w:rPr>
      </w:pPr>
      <w:r>
        <w:rPr>
          <w:rFonts w:hint="eastAsia"/>
          <w:color w:val="auto"/>
        </w:rPr>
        <w:t>隧道湿喷混凝土拌和物应采用自动化混凝土搅拌站集中生产，推行机械化、工厂化作业和信息化管理，实现混凝土拌和、喷射过程的可追溯性和质量的稳定性。</w:t>
      </w:r>
    </w:p>
    <w:p>
      <w:pPr>
        <w:pStyle w:val="48"/>
        <w:numPr>
          <w:ilvl w:val="0"/>
          <w:numId w:val="8"/>
        </w:numPr>
        <w:ind w:left="0" w:firstLine="0"/>
        <w:jc w:val="left"/>
        <w:rPr>
          <w:color w:val="auto"/>
        </w:rPr>
      </w:pPr>
      <w:r>
        <w:rPr>
          <w:rFonts w:hint="eastAsia"/>
          <w:color w:val="auto"/>
        </w:rPr>
        <w:t>隧道湿喷混凝土应组建专业化的施工队伍，推行专业化施工。</w:t>
      </w:r>
    </w:p>
    <w:p>
      <w:pPr>
        <w:pStyle w:val="48"/>
        <w:numPr>
          <w:ilvl w:val="0"/>
          <w:numId w:val="8"/>
        </w:numPr>
        <w:ind w:left="0" w:firstLine="0"/>
        <w:jc w:val="left"/>
        <w:rPr>
          <w:color w:val="auto"/>
        </w:rPr>
      </w:pPr>
      <w:r>
        <w:rPr>
          <w:rFonts w:hint="eastAsia"/>
          <w:color w:val="auto"/>
        </w:rPr>
        <w:t>铁路隧道湿喷混凝土施工宜采用信息化手段进行施工管理，实现施工质量可追溯，隐蔽工程可视化的目标。</w:t>
      </w:r>
    </w:p>
    <w:p>
      <w:pPr>
        <w:keepNext/>
        <w:spacing w:before="600" w:after="600" w:line="400" w:lineRule="atLeast"/>
        <w:jc w:val="center"/>
        <w:outlineLvl w:val="0"/>
        <w:rPr>
          <w:color w:val="auto"/>
          <w:szCs w:val="30"/>
        </w:rPr>
      </w:pPr>
      <w:r>
        <w:rPr>
          <w:color w:val="auto"/>
          <w:szCs w:val="30"/>
        </w:rPr>
        <w:br w:type="page"/>
      </w:r>
      <w:bookmarkStart w:id="11" w:name="_Toc1658229"/>
      <w:r>
        <w:rPr>
          <w:rFonts w:eastAsia="黑体"/>
          <w:color w:val="auto"/>
          <w:sz w:val="32"/>
          <w:szCs w:val="32"/>
        </w:rPr>
        <w:t>4  原材料</w:t>
      </w:r>
      <w:bookmarkEnd w:id="11"/>
    </w:p>
    <w:p>
      <w:pPr>
        <w:pStyle w:val="3"/>
        <w:keepNext/>
        <w:keepLines/>
        <w:spacing w:before="360" w:beforeLines="0" w:after="360" w:afterLines="0" w:line="400" w:lineRule="atLeast"/>
        <w:rPr>
          <w:rFonts w:eastAsia="黑体"/>
          <w:b w:val="0"/>
          <w:color w:val="auto"/>
          <w:sz w:val="24"/>
          <w:szCs w:val="24"/>
        </w:rPr>
      </w:pPr>
      <w:bookmarkStart w:id="12" w:name="_Toc1658230"/>
      <w:r>
        <w:rPr>
          <w:rFonts w:eastAsia="黑体"/>
          <w:b w:val="0"/>
          <w:color w:val="auto"/>
          <w:sz w:val="24"/>
          <w:szCs w:val="24"/>
        </w:rPr>
        <w:t>4.1  胶凝材料</w:t>
      </w:r>
      <w:bookmarkEnd w:id="12"/>
    </w:p>
    <w:p>
      <w:pPr>
        <w:pStyle w:val="48"/>
        <w:numPr>
          <w:ilvl w:val="0"/>
          <w:numId w:val="9"/>
        </w:numPr>
        <w:ind w:left="0" w:firstLine="0"/>
        <w:rPr>
          <w:b/>
          <w:snapToGrid w:val="0"/>
          <w:color w:val="auto"/>
          <w:szCs w:val="24"/>
        </w:rPr>
      </w:pPr>
      <w:r>
        <w:rPr>
          <w:snapToGrid w:val="0"/>
          <w:color w:val="auto"/>
          <w:szCs w:val="24"/>
        </w:rPr>
        <w:t>配制湿喷混凝土宜采用硅酸盐水泥和普通硅酸盐水泥，其性能应符合表4.1.1-1～表4.1.1-2的规定。其他品种水泥的性能应符合国家现行标准《通用硅酸盐水泥》GB 175的规定。检验方法和检验数量应符合《铁路混凝土工程施工质量验收标准》TB 10424的规定。用于永久性结构湿喷混凝土的水泥强度等级不应低于42.5级。</w:t>
      </w:r>
    </w:p>
    <w:p>
      <w:pPr>
        <w:adjustRightInd w:val="0"/>
        <w:snapToGrid w:val="0"/>
        <w:spacing w:line="400" w:lineRule="atLeast"/>
        <w:jc w:val="center"/>
        <w:rPr>
          <w:bCs/>
          <w:color w:val="auto"/>
        </w:rPr>
      </w:pPr>
      <w:r>
        <w:rPr>
          <w:rFonts w:eastAsia="黑体"/>
          <w:bCs/>
          <w:color w:val="auto"/>
          <w:sz w:val="21"/>
          <w:szCs w:val="21"/>
        </w:rPr>
        <w:t>表4.1.1-1  水泥的性能</w:t>
      </w:r>
    </w:p>
    <w:tbl>
      <w:tblPr>
        <w:tblStyle w:val="44"/>
        <w:tblW w:w="8597"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99"/>
        <w:gridCol w:w="2150"/>
        <w:gridCol w:w="3233"/>
        <w:gridCol w:w="241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序号</w:t>
            </w:r>
          </w:p>
        </w:tc>
        <w:tc>
          <w:tcPr>
            <w:tcW w:w="2150"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检验项目</w:t>
            </w:r>
          </w:p>
        </w:tc>
        <w:tc>
          <w:tcPr>
            <w:tcW w:w="3233"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技术要求</w:t>
            </w:r>
          </w:p>
        </w:tc>
        <w:tc>
          <w:tcPr>
            <w:tcW w:w="2415"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Merge w:val="continue"/>
            <w:vAlign w:val="center"/>
          </w:tcPr>
          <w:p>
            <w:pPr>
              <w:tabs>
                <w:tab w:val="left" w:pos="3430"/>
              </w:tabs>
              <w:adjustRightInd w:val="0"/>
              <w:snapToGrid w:val="0"/>
              <w:spacing w:line="240" w:lineRule="exact"/>
              <w:jc w:val="center"/>
              <w:rPr>
                <w:color w:val="auto"/>
                <w:sz w:val="18"/>
                <w:szCs w:val="18"/>
              </w:rPr>
            </w:pPr>
          </w:p>
        </w:tc>
        <w:tc>
          <w:tcPr>
            <w:tcW w:w="2150" w:type="dxa"/>
            <w:vMerge w:val="continue"/>
            <w:vAlign w:val="center"/>
          </w:tcPr>
          <w:p>
            <w:pPr>
              <w:tabs>
                <w:tab w:val="left" w:pos="3430"/>
              </w:tabs>
              <w:adjustRightInd w:val="0"/>
              <w:snapToGrid w:val="0"/>
              <w:spacing w:line="240" w:lineRule="exact"/>
              <w:ind w:firstLine="360" w:firstLineChars="200"/>
              <w:jc w:val="center"/>
              <w:rPr>
                <w:color w:val="auto"/>
                <w:sz w:val="18"/>
                <w:szCs w:val="18"/>
              </w:rPr>
            </w:pPr>
          </w:p>
        </w:tc>
        <w:tc>
          <w:tcPr>
            <w:tcW w:w="3233" w:type="dxa"/>
            <w:vMerge w:val="continue"/>
            <w:vAlign w:val="center"/>
          </w:tcPr>
          <w:p>
            <w:pPr>
              <w:tabs>
                <w:tab w:val="left" w:pos="3430"/>
              </w:tabs>
              <w:adjustRightInd w:val="0"/>
              <w:snapToGrid w:val="0"/>
              <w:spacing w:line="240" w:lineRule="exact"/>
              <w:jc w:val="center"/>
              <w:rPr>
                <w:color w:val="auto"/>
                <w:sz w:val="18"/>
                <w:szCs w:val="18"/>
              </w:rPr>
            </w:pPr>
          </w:p>
        </w:tc>
        <w:tc>
          <w:tcPr>
            <w:tcW w:w="2415" w:type="dxa"/>
            <w:vMerge w:val="continue"/>
            <w:vAlign w:val="center"/>
          </w:tcPr>
          <w:p>
            <w:pPr>
              <w:tabs>
                <w:tab w:val="left" w:pos="3430"/>
              </w:tabs>
              <w:adjustRightInd w:val="0"/>
              <w:snapToGrid w:val="0"/>
              <w:spacing w:line="240" w:lineRule="exact"/>
              <w:ind w:left="12"/>
              <w:jc w:val="center"/>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比表面积</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300～350m</w:t>
            </w:r>
            <w:r>
              <w:rPr>
                <w:color w:val="auto"/>
                <w:sz w:val="18"/>
                <w:szCs w:val="18"/>
                <w:vertAlign w:val="superscript"/>
              </w:rPr>
              <w:t>2</w:t>
            </w:r>
            <w:r>
              <w:rPr>
                <w:color w:val="auto"/>
                <w:sz w:val="18"/>
                <w:szCs w:val="18"/>
              </w:rPr>
              <w:t>/kg</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按GB/T8074检验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2</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凝结时间</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初凝≥45min，终凝≤600min</w:t>
            </w:r>
          </w:p>
          <w:p>
            <w:pPr>
              <w:tabs>
                <w:tab w:val="left" w:pos="3430"/>
              </w:tabs>
              <w:adjustRightInd w:val="0"/>
              <w:snapToGrid w:val="0"/>
              <w:spacing w:line="240" w:lineRule="exact"/>
              <w:jc w:val="center"/>
              <w:rPr>
                <w:color w:val="auto"/>
                <w:sz w:val="18"/>
                <w:szCs w:val="18"/>
              </w:rPr>
            </w:pPr>
            <w:r>
              <w:rPr>
                <w:color w:val="auto"/>
                <w:sz w:val="18"/>
                <w:szCs w:val="18"/>
              </w:rPr>
              <w:t>（硅酸盐水泥终凝≤390min）</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按GB/T1346检验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3</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安定性</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沸煮法合格</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按GB/T1346检验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4</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强度</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符合表4.1.1-2表的规定</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按GB/T17671检验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5</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烧失量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≤5.0%（P·O）；≤3.5%（P·</w:t>
            </w:r>
            <w:r>
              <w:rPr>
                <w:rFonts w:hint="eastAsia" w:ascii="宋体" w:hAnsi="宋体" w:cs="宋体"/>
                <w:color w:val="auto"/>
                <w:sz w:val="18"/>
                <w:szCs w:val="18"/>
              </w:rPr>
              <w:t>Ⅱ</w:t>
            </w:r>
            <w:r>
              <w:rPr>
                <w:color w:val="auto"/>
                <w:sz w:val="18"/>
                <w:szCs w:val="18"/>
              </w:rPr>
              <w:t>）；</w:t>
            </w:r>
          </w:p>
          <w:p>
            <w:pPr>
              <w:tabs>
                <w:tab w:val="left" w:pos="3430"/>
              </w:tabs>
              <w:adjustRightInd w:val="0"/>
              <w:snapToGrid w:val="0"/>
              <w:spacing w:line="240" w:lineRule="exact"/>
              <w:jc w:val="center"/>
              <w:rPr>
                <w:color w:val="auto"/>
                <w:sz w:val="18"/>
                <w:szCs w:val="18"/>
              </w:rPr>
            </w:pPr>
            <w:r>
              <w:rPr>
                <w:color w:val="auto"/>
                <w:sz w:val="18"/>
                <w:szCs w:val="18"/>
              </w:rPr>
              <w:t>≤3.0%（P·</w:t>
            </w:r>
            <w:r>
              <w:rPr>
                <w:rFonts w:hint="eastAsia" w:ascii="宋体" w:hAnsi="宋体" w:cs="宋体"/>
                <w:color w:val="auto"/>
                <w:sz w:val="18"/>
                <w:szCs w:val="18"/>
              </w:rPr>
              <w:t>Ⅰ</w:t>
            </w:r>
            <w:r>
              <w:rPr>
                <w:color w:val="auto"/>
                <w:sz w:val="18"/>
                <w:szCs w:val="18"/>
              </w:rPr>
              <w:t>）</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6</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游离</w:t>
            </w:r>
            <w:r>
              <w:rPr>
                <w:color w:val="auto"/>
                <w:kern w:val="0"/>
                <w:sz w:val="18"/>
                <w:szCs w:val="18"/>
              </w:rPr>
              <w:t>CaO含量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≤1.0%</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7</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MgO含量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≤5.0%</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8</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SO</w:t>
            </w:r>
            <w:r>
              <w:rPr>
                <w:color w:val="auto"/>
                <w:sz w:val="18"/>
                <w:szCs w:val="18"/>
                <w:vertAlign w:val="subscript"/>
              </w:rPr>
              <w:t>3</w:t>
            </w:r>
            <w:r>
              <w:rPr>
                <w:color w:val="auto"/>
                <w:sz w:val="18"/>
                <w:szCs w:val="18"/>
              </w:rPr>
              <w:t>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≤3.5%</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9</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kern w:val="0"/>
                <w:sz w:val="18"/>
                <w:szCs w:val="18"/>
              </w:rPr>
              <w:t>Cl</w:t>
            </w:r>
            <w:r>
              <w:rPr>
                <w:color w:val="auto"/>
                <w:kern w:val="0"/>
                <w:sz w:val="18"/>
                <w:szCs w:val="18"/>
                <w:vertAlign w:val="superscript"/>
              </w:rPr>
              <w:t>-</w:t>
            </w:r>
            <w:r>
              <w:rPr>
                <w:color w:val="auto"/>
                <w:sz w:val="18"/>
                <w:szCs w:val="18"/>
              </w:rPr>
              <w:t>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≤0.06%</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10</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碱含量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≤0.80%</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11</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助磨剂种类及掺量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符合GB175-2007第5.2条规定</w:t>
            </w:r>
          </w:p>
        </w:tc>
        <w:tc>
          <w:tcPr>
            <w:tcW w:w="2415"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检查产品质量证明文件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12</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石膏种类及掺量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符合GB175-2007第5.2条规定</w:t>
            </w:r>
          </w:p>
        </w:tc>
        <w:tc>
          <w:tcPr>
            <w:tcW w:w="2415" w:type="dxa"/>
            <w:vMerge w:val="continue"/>
            <w:vAlign w:val="center"/>
          </w:tcPr>
          <w:p>
            <w:pPr>
              <w:tabs>
                <w:tab w:val="left" w:pos="3430"/>
              </w:tabs>
              <w:adjustRightInd w:val="0"/>
              <w:snapToGrid w:val="0"/>
              <w:spacing w:line="240" w:lineRule="exact"/>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13</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混合材种类及掺量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符合GB175-2007第5.2条规定</w:t>
            </w:r>
          </w:p>
        </w:tc>
        <w:tc>
          <w:tcPr>
            <w:tcW w:w="2415" w:type="dxa"/>
            <w:vMerge w:val="continue"/>
            <w:vAlign w:val="center"/>
          </w:tcPr>
          <w:p>
            <w:pPr>
              <w:tabs>
                <w:tab w:val="left" w:pos="3430"/>
              </w:tabs>
              <w:adjustRightInd w:val="0"/>
              <w:snapToGrid w:val="0"/>
              <w:spacing w:line="240" w:lineRule="exact"/>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652" w:hRule="atLeast"/>
          <w:jc w:val="center"/>
        </w:trPr>
        <w:tc>
          <w:tcPr>
            <w:tcW w:w="799" w:type="dxa"/>
            <w:vAlign w:val="center"/>
          </w:tcPr>
          <w:p>
            <w:pPr>
              <w:tabs>
                <w:tab w:val="left" w:pos="3430"/>
              </w:tabs>
              <w:adjustRightInd w:val="0"/>
              <w:snapToGrid w:val="0"/>
              <w:spacing w:line="240" w:lineRule="exact"/>
              <w:jc w:val="center"/>
              <w:rPr>
                <w:color w:val="auto"/>
                <w:sz w:val="18"/>
                <w:szCs w:val="18"/>
              </w:rPr>
            </w:pPr>
            <w:r>
              <w:rPr>
                <w:color w:val="auto"/>
                <w:sz w:val="18"/>
                <w:szCs w:val="18"/>
              </w:rPr>
              <w:t>14</w:t>
            </w:r>
          </w:p>
        </w:tc>
        <w:tc>
          <w:tcPr>
            <w:tcW w:w="2150" w:type="dxa"/>
            <w:vAlign w:val="center"/>
          </w:tcPr>
          <w:p>
            <w:pPr>
              <w:tabs>
                <w:tab w:val="left" w:pos="3430"/>
              </w:tabs>
              <w:adjustRightInd w:val="0"/>
              <w:snapToGrid w:val="0"/>
              <w:spacing w:line="240" w:lineRule="exact"/>
              <w:jc w:val="center"/>
              <w:rPr>
                <w:color w:val="auto"/>
                <w:sz w:val="18"/>
                <w:szCs w:val="18"/>
              </w:rPr>
            </w:pPr>
            <w:r>
              <w:rPr>
                <w:color w:val="auto"/>
                <w:sz w:val="18"/>
                <w:szCs w:val="18"/>
              </w:rPr>
              <w:t>熟料中的C</w:t>
            </w:r>
            <w:r>
              <w:rPr>
                <w:color w:val="auto"/>
                <w:sz w:val="18"/>
                <w:szCs w:val="18"/>
                <w:vertAlign w:val="subscript"/>
              </w:rPr>
              <w:t>3</w:t>
            </w:r>
            <w:r>
              <w:rPr>
                <w:color w:val="auto"/>
                <w:sz w:val="18"/>
                <w:szCs w:val="18"/>
              </w:rPr>
              <w:t>A含量</w:t>
            </w:r>
          </w:p>
        </w:tc>
        <w:tc>
          <w:tcPr>
            <w:tcW w:w="3233" w:type="dxa"/>
            <w:vAlign w:val="center"/>
          </w:tcPr>
          <w:p>
            <w:pPr>
              <w:tabs>
                <w:tab w:val="left" w:pos="3430"/>
              </w:tabs>
              <w:adjustRightInd w:val="0"/>
              <w:snapToGrid w:val="0"/>
              <w:spacing w:line="240" w:lineRule="exact"/>
              <w:jc w:val="center"/>
              <w:rPr>
                <w:color w:val="auto"/>
                <w:sz w:val="18"/>
                <w:szCs w:val="18"/>
              </w:rPr>
            </w:pPr>
            <w:r>
              <w:rPr>
                <w:color w:val="auto"/>
                <w:sz w:val="18"/>
                <w:szCs w:val="18"/>
              </w:rPr>
              <w:t>≤8%</w:t>
            </w:r>
          </w:p>
        </w:tc>
        <w:tc>
          <w:tcPr>
            <w:tcW w:w="2415"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按GB/T21372相关</w:t>
            </w:r>
          </w:p>
          <w:p>
            <w:pPr>
              <w:tabs>
                <w:tab w:val="left" w:pos="3430"/>
              </w:tabs>
              <w:adjustRightInd w:val="0"/>
              <w:snapToGrid w:val="0"/>
              <w:spacing w:line="240" w:lineRule="exact"/>
              <w:jc w:val="center"/>
              <w:rPr>
                <w:color w:val="auto"/>
                <w:sz w:val="18"/>
                <w:szCs w:val="18"/>
              </w:rPr>
            </w:pPr>
            <w:r>
              <w:rPr>
                <w:color w:val="auto"/>
                <w:sz w:val="18"/>
                <w:szCs w:val="18"/>
              </w:rPr>
              <w:t>规定检验</w:t>
            </w:r>
          </w:p>
        </w:tc>
      </w:tr>
    </w:tbl>
    <w:p>
      <w:pPr>
        <w:adjustRightInd w:val="0"/>
        <w:snapToGrid w:val="0"/>
        <w:ind w:left="1130" w:leftChars="178" w:hanging="703" w:hangingChars="335"/>
        <w:rPr>
          <w:color w:val="auto"/>
          <w:sz w:val="21"/>
          <w:szCs w:val="21"/>
        </w:rPr>
      </w:pPr>
      <w:r>
        <w:rPr>
          <w:color w:val="auto"/>
          <w:sz w:val="21"/>
          <w:szCs w:val="21"/>
        </w:rPr>
        <w:t>注：</w:t>
      </w:r>
      <w:r>
        <w:rPr>
          <w:b/>
          <w:color w:val="auto"/>
          <w:sz w:val="21"/>
          <w:szCs w:val="21"/>
        </w:rPr>
        <w:t>1</w:t>
      </w:r>
      <w:r>
        <w:rPr>
          <w:color w:val="auto"/>
          <w:sz w:val="21"/>
          <w:szCs w:val="21"/>
        </w:rPr>
        <w:t>当骨料具有碱—硅酸反应活性时，水泥的碱含量不应超过0.60%。≥C40的湿喷混凝土用水泥的碱含量不宜超过0.60%。</w:t>
      </w:r>
    </w:p>
    <w:p>
      <w:pPr>
        <w:adjustRightInd w:val="0"/>
        <w:snapToGrid w:val="0"/>
        <w:ind w:left="1132" w:leftChars="354" w:hanging="282" w:hangingChars="134"/>
        <w:rPr>
          <w:color w:val="auto"/>
          <w:sz w:val="21"/>
          <w:szCs w:val="21"/>
        </w:rPr>
      </w:pPr>
      <w:r>
        <w:rPr>
          <w:b/>
          <w:color w:val="auto"/>
          <w:sz w:val="21"/>
          <w:szCs w:val="21"/>
        </w:rPr>
        <w:t>2</w:t>
      </w:r>
      <w:r>
        <w:rPr>
          <w:color w:val="auto"/>
          <w:sz w:val="21"/>
          <w:szCs w:val="21"/>
        </w:rPr>
        <w:t>在氯盐环境条件下，混凝土宜采用低Cl</w:t>
      </w:r>
      <w:r>
        <w:rPr>
          <w:color w:val="auto"/>
          <w:sz w:val="21"/>
          <w:szCs w:val="21"/>
          <w:vertAlign w:val="superscript"/>
        </w:rPr>
        <w:t>-</w:t>
      </w:r>
      <w:r>
        <w:rPr>
          <w:color w:val="auto"/>
          <w:sz w:val="21"/>
          <w:szCs w:val="21"/>
        </w:rPr>
        <w:t>含量的水泥，不宜使用抗硫酸盐硅酸盐水泥。</w:t>
      </w:r>
    </w:p>
    <w:p>
      <w:pPr>
        <w:adjustRightInd w:val="0"/>
        <w:snapToGrid w:val="0"/>
        <w:ind w:left="1132" w:leftChars="354" w:hanging="282" w:hangingChars="134"/>
        <w:rPr>
          <w:color w:val="auto"/>
          <w:sz w:val="21"/>
          <w:szCs w:val="21"/>
        </w:rPr>
      </w:pPr>
      <w:r>
        <w:rPr>
          <w:b/>
          <w:color w:val="auto"/>
          <w:sz w:val="21"/>
          <w:szCs w:val="21"/>
        </w:rPr>
        <w:t>3</w:t>
      </w:r>
      <w:r>
        <w:rPr>
          <w:color w:val="auto"/>
          <w:sz w:val="21"/>
          <w:szCs w:val="21"/>
        </w:rPr>
        <w:t>在硫酸盐化学侵蚀环境条件下，混凝土应采用低C</w:t>
      </w:r>
      <w:r>
        <w:rPr>
          <w:color w:val="auto"/>
          <w:sz w:val="21"/>
          <w:szCs w:val="21"/>
          <w:vertAlign w:val="subscript"/>
        </w:rPr>
        <w:t>3</w:t>
      </w:r>
      <w:r>
        <w:rPr>
          <w:color w:val="auto"/>
          <w:sz w:val="21"/>
          <w:szCs w:val="21"/>
        </w:rPr>
        <w:t>A含量的水泥，且胶凝材料的抗蚀系数（56d）不得小于0.80。胶凝材料抗蚀系数按《铁路混凝土工程施工质量验收标准》TB 10424附录检验。</w:t>
      </w:r>
    </w:p>
    <w:p>
      <w:pPr>
        <w:adjustRightInd w:val="0"/>
        <w:snapToGrid w:val="0"/>
        <w:ind w:left="1132" w:leftChars="354" w:hanging="282" w:hangingChars="134"/>
        <w:rPr>
          <w:color w:val="auto"/>
          <w:sz w:val="21"/>
          <w:szCs w:val="21"/>
        </w:rPr>
      </w:pPr>
      <w:r>
        <w:rPr>
          <w:b/>
          <w:color w:val="auto"/>
          <w:sz w:val="21"/>
          <w:szCs w:val="21"/>
        </w:rPr>
        <w:t>4</w:t>
      </w:r>
      <w:r>
        <w:rPr>
          <w:color w:val="auto"/>
          <w:sz w:val="21"/>
          <w:szCs w:val="21"/>
        </w:rPr>
        <w:t>湿喷混凝土有特殊要求，必要时可采用特种水泥，并满足相关规范要求。</w:t>
      </w:r>
    </w:p>
    <w:p>
      <w:pPr>
        <w:adjustRightInd w:val="0"/>
        <w:snapToGrid w:val="0"/>
        <w:spacing w:line="400" w:lineRule="atLeast"/>
        <w:jc w:val="center"/>
        <w:rPr>
          <w:rFonts w:eastAsia="黑体"/>
          <w:bCs/>
          <w:color w:val="auto"/>
          <w:sz w:val="21"/>
          <w:szCs w:val="21"/>
        </w:rPr>
      </w:pPr>
      <w:r>
        <w:rPr>
          <w:rFonts w:eastAsia="黑体"/>
          <w:bCs/>
          <w:color w:val="auto"/>
          <w:sz w:val="21"/>
          <w:szCs w:val="21"/>
        </w:rPr>
        <w:t>表4.1.1-2  硅酸盐水泥和普通硅酸盐水泥的强度要求</w:t>
      </w:r>
    </w:p>
    <w:tbl>
      <w:tblPr>
        <w:tblStyle w:val="44"/>
        <w:tblW w:w="8633" w:type="dxa"/>
        <w:tblInd w:w="1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7"/>
        <w:gridCol w:w="1166"/>
        <w:gridCol w:w="1550"/>
        <w:gridCol w:w="1567"/>
        <w:gridCol w:w="1433"/>
        <w:gridCol w:w="1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5" w:hRule="atLeast"/>
        </w:trPr>
        <w:tc>
          <w:tcPr>
            <w:tcW w:w="1267" w:type="dxa"/>
            <w:vMerge w:val="restart"/>
            <w:vAlign w:val="center"/>
          </w:tcPr>
          <w:p>
            <w:pPr>
              <w:spacing w:line="276" w:lineRule="auto"/>
              <w:ind w:right="29" w:rightChars="12"/>
              <w:jc w:val="center"/>
              <w:rPr>
                <w:color w:val="auto"/>
                <w:sz w:val="18"/>
                <w:szCs w:val="18"/>
              </w:rPr>
            </w:pPr>
            <w:r>
              <w:rPr>
                <w:color w:val="auto"/>
                <w:sz w:val="18"/>
                <w:szCs w:val="18"/>
              </w:rPr>
              <w:t>品种</w:t>
            </w:r>
          </w:p>
        </w:tc>
        <w:tc>
          <w:tcPr>
            <w:tcW w:w="1166" w:type="dxa"/>
            <w:vMerge w:val="restart"/>
            <w:vAlign w:val="center"/>
          </w:tcPr>
          <w:p>
            <w:pPr>
              <w:spacing w:line="276" w:lineRule="auto"/>
              <w:ind w:right="29" w:rightChars="12"/>
              <w:jc w:val="center"/>
              <w:rPr>
                <w:color w:val="auto"/>
                <w:sz w:val="18"/>
                <w:szCs w:val="18"/>
              </w:rPr>
            </w:pPr>
            <w:r>
              <w:rPr>
                <w:color w:val="auto"/>
                <w:sz w:val="18"/>
                <w:szCs w:val="18"/>
              </w:rPr>
              <w:t>强度等级</w:t>
            </w:r>
          </w:p>
        </w:tc>
        <w:tc>
          <w:tcPr>
            <w:tcW w:w="3117" w:type="dxa"/>
            <w:gridSpan w:val="2"/>
            <w:vAlign w:val="center"/>
          </w:tcPr>
          <w:p>
            <w:pPr>
              <w:spacing w:line="276" w:lineRule="auto"/>
              <w:ind w:right="29" w:rightChars="12"/>
              <w:jc w:val="center"/>
              <w:rPr>
                <w:color w:val="auto"/>
                <w:sz w:val="18"/>
                <w:szCs w:val="18"/>
              </w:rPr>
            </w:pPr>
            <w:r>
              <w:rPr>
                <w:color w:val="auto"/>
                <w:sz w:val="18"/>
                <w:szCs w:val="18"/>
              </w:rPr>
              <w:t>抗压强度（MPa）</w:t>
            </w:r>
          </w:p>
        </w:tc>
        <w:tc>
          <w:tcPr>
            <w:tcW w:w="3083" w:type="dxa"/>
            <w:gridSpan w:val="2"/>
            <w:vAlign w:val="center"/>
          </w:tcPr>
          <w:p>
            <w:pPr>
              <w:spacing w:line="276" w:lineRule="auto"/>
              <w:ind w:right="29" w:rightChars="12"/>
              <w:jc w:val="center"/>
              <w:rPr>
                <w:color w:val="auto"/>
                <w:sz w:val="18"/>
                <w:szCs w:val="18"/>
              </w:rPr>
            </w:pPr>
            <w:r>
              <w:rPr>
                <w:color w:val="auto"/>
                <w:sz w:val="18"/>
                <w:szCs w:val="18"/>
              </w:rPr>
              <w:t>抗折强度（MPa）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9" w:hRule="atLeast"/>
        </w:trPr>
        <w:tc>
          <w:tcPr>
            <w:tcW w:w="1267" w:type="dxa"/>
            <w:vMerge w:val="continue"/>
            <w:vAlign w:val="center"/>
          </w:tcPr>
          <w:p>
            <w:pPr>
              <w:spacing w:line="276" w:lineRule="auto"/>
              <w:ind w:right="29" w:rightChars="12"/>
              <w:jc w:val="center"/>
              <w:rPr>
                <w:color w:val="auto"/>
                <w:sz w:val="18"/>
                <w:szCs w:val="18"/>
              </w:rPr>
            </w:pPr>
          </w:p>
        </w:tc>
        <w:tc>
          <w:tcPr>
            <w:tcW w:w="1166" w:type="dxa"/>
            <w:vMerge w:val="continue"/>
            <w:vAlign w:val="center"/>
          </w:tcPr>
          <w:p>
            <w:pPr>
              <w:spacing w:line="276" w:lineRule="auto"/>
              <w:ind w:right="29" w:rightChars="12"/>
              <w:jc w:val="center"/>
              <w:rPr>
                <w:color w:val="auto"/>
                <w:sz w:val="18"/>
                <w:szCs w:val="18"/>
              </w:rPr>
            </w:pPr>
          </w:p>
        </w:tc>
        <w:tc>
          <w:tcPr>
            <w:tcW w:w="1550" w:type="dxa"/>
            <w:vAlign w:val="center"/>
          </w:tcPr>
          <w:p>
            <w:pPr>
              <w:spacing w:line="276" w:lineRule="auto"/>
              <w:ind w:right="29" w:rightChars="12"/>
              <w:jc w:val="center"/>
              <w:rPr>
                <w:color w:val="auto"/>
                <w:sz w:val="18"/>
                <w:szCs w:val="18"/>
              </w:rPr>
            </w:pPr>
            <w:r>
              <w:rPr>
                <w:color w:val="auto"/>
                <w:sz w:val="18"/>
                <w:szCs w:val="18"/>
              </w:rPr>
              <w:t>3d</w:t>
            </w:r>
          </w:p>
        </w:tc>
        <w:tc>
          <w:tcPr>
            <w:tcW w:w="1567" w:type="dxa"/>
            <w:vAlign w:val="center"/>
          </w:tcPr>
          <w:p>
            <w:pPr>
              <w:spacing w:line="276" w:lineRule="auto"/>
              <w:ind w:right="29" w:rightChars="12"/>
              <w:jc w:val="center"/>
              <w:rPr>
                <w:color w:val="auto"/>
                <w:sz w:val="18"/>
                <w:szCs w:val="18"/>
              </w:rPr>
            </w:pPr>
            <w:r>
              <w:rPr>
                <w:color w:val="auto"/>
                <w:sz w:val="18"/>
                <w:szCs w:val="18"/>
              </w:rPr>
              <w:t>28d</w:t>
            </w:r>
          </w:p>
        </w:tc>
        <w:tc>
          <w:tcPr>
            <w:tcW w:w="1433" w:type="dxa"/>
            <w:vAlign w:val="center"/>
          </w:tcPr>
          <w:p>
            <w:pPr>
              <w:spacing w:line="276" w:lineRule="auto"/>
              <w:ind w:right="29" w:rightChars="12"/>
              <w:jc w:val="center"/>
              <w:rPr>
                <w:color w:val="auto"/>
                <w:sz w:val="18"/>
                <w:szCs w:val="18"/>
              </w:rPr>
            </w:pPr>
            <w:r>
              <w:rPr>
                <w:color w:val="auto"/>
                <w:sz w:val="18"/>
                <w:szCs w:val="18"/>
              </w:rPr>
              <w:t>3d</w:t>
            </w:r>
          </w:p>
        </w:tc>
        <w:tc>
          <w:tcPr>
            <w:tcW w:w="1650" w:type="dxa"/>
            <w:vAlign w:val="center"/>
          </w:tcPr>
          <w:p>
            <w:pPr>
              <w:spacing w:line="276" w:lineRule="auto"/>
              <w:ind w:right="29" w:rightChars="12"/>
              <w:jc w:val="center"/>
              <w:rPr>
                <w:color w:val="auto"/>
                <w:sz w:val="18"/>
                <w:szCs w:val="18"/>
              </w:rPr>
            </w:pPr>
            <w:r>
              <w:rPr>
                <w:color w:val="auto"/>
                <w:sz w:val="18"/>
                <w:szCs w:val="18"/>
              </w:rPr>
              <w:t>28d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trPr>
        <w:tc>
          <w:tcPr>
            <w:tcW w:w="1267" w:type="dxa"/>
            <w:vMerge w:val="restart"/>
            <w:vAlign w:val="center"/>
          </w:tcPr>
          <w:p>
            <w:pPr>
              <w:adjustRightInd w:val="0"/>
              <w:snapToGrid w:val="0"/>
              <w:spacing w:line="276" w:lineRule="auto"/>
              <w:jc w:val="center"/>
              <w:rPr>
                <w:color w:val="auto"/>
                <w:kern w:val="0"/>
                <w:sz w:val="18"/>
                <w:szCs w:val="18"/>
              </w:rPr>
            </w:pPr>
            <w:r>
              <w:rPr>
                <w:color w:val="auto"/>
                <w:kern w:val="0"/>
                <w:sz w:val="18"/>
                <w:szCs w:val="18"/>
              </w:rPr>
              <w:t>硅酸盐水泥</w:t>
            </w:r>
          </w:p>
        </w:tc>
        <w:tc>
          <w:tcPr>
            <w:tcW w:w="1166" w:type="dxa"/>
            <w:vAlign w:val="center"/>
          </w:tcPr>
          <w:p>
            <w:pPr>
              <w:adjustRightInd w:val="0"/>
              <w:snapToGrid w:val="0"/>
              <w:spacing w:line="276" w:lineRule="auto"/>
              <w:jc w:val="center"/>
              <w:rPr>
                <w:color w:val="auto"/>
                <w:sz w:val="18"/>
                <w:szCs w:val="18"/>
              </w:rPr>
            </w:pPr>
            <w:r>
              <w:rPr>
                <w:color w:val="auto"/>
                <w:sz w:val="18"/>
                <w:szCs w:val="18"/>
              </w:rPr>
              <w:t>42.5</w:t>
            </w:r>
          </w:p>
        </w:tc>
        <w:tc>
          <w:tcPr>
            <w:tcW w:w="1550" w:type="dxa"/>
            <w:vAlign w:val="center"/>
          </w:tcPr>
          <w:p>
            <w:pPr>
              <w:spacing w:line="276" w:lineRule="auto"/>
              <w:jc w:val="center"/>
              <w:rPr>
                <w:color w:val="auto"/>
                <w:sz w:val="18"/>
                <w:szCs w:val="18"/>
              </w:rPr>
            </w:pPr>
            <w:r>
              <w:rPr>
                <w:color w:val="auto"/>
                <w:sz w:val="18"/>
                <w:szCs w:val="18"/>
              </w:rPr>
              <w:t>≥17.0</w:t>
            </w:r>
          </w:p>
        </w:tc>
        <w:tc>
          <w:tcPr>
            <w:tcW w:w="1567" w:type="dxa"/>
            <w:vAlign w:val="bottom"/>
          </w:tcPr>
          <w:p>
            <w:pPr>
              <w:adjustRightInd w:val="0"/>
              <w:snapToGrid w:val="0"/>
              <w:spacing w:line="276" w:lineRule="auto"/>
              <w:jc w:val="center"/>
              <w:rPr>
                <w:color w:val="auto"/>
                <w:kern w:val="0"/>
                <w:sz w:val="18"/>
                <w:szCs w:val="18"/>
              </w:rPr>
            </w:pPr>
            <w:r>
              <w:rPr>
                <w:color w:val="auto"/>
                <w:sz w:val="18"/>
                <w:szCs w:val="18"/>
              </w:rPr>
              <w:t>≥42.5</w:t>
            </w:r>
          </w:p>
        </w:tc>
        <w:tc>
          <w:tcPr>
            <w:tcW w:w="1433" w:type="dxa"/>
            <w:vAlign w:val="center"/>
          </w:tcPr>
          <w:p>
            <w:pPr>
              <w:adjustRightInd w:val="0"/>
              <w:snapToGrid w:val="0"/>
              <w:spacing w:line="276" w:lineRule="auto"/>
              <w:ind w:firstLine="540" w:firstLineChars="300"/>
              <w:rPr>
                <w:color w:val="auto"/>
                <w:kern w:val="0"/>
                <w:sz w:val="18"/>
                <w:szCs w:val="18"/>
              </w:rPr>
            </w:pPr>
            <w:r>
              <w:rPr>
                <w:color w:val="auto"/>
                <w:sz w:val="18"/>
                <w:szCs w:val="18"/>
              </w:rPr>
              <w:t>≥3.5</w:t>
            </w:r>
          </w:p>
        </w:tc>
        <w:tc>
          <w:tcPr>
            <w:tcW w:w="1650" w:type="dxa"/>
            <w:vAlign w:val="center"/>
          </w:tcPr>
          <w:p>
            <w:pPr>
              <w:adjustRightInd w:val="0"/>
              <w:snapToGrid w:val="0"/>
              <w:spacing w:line="276" w:lineRule="auto"/>
              <w:jc w:val="center"/>
              <w:rPr>
                <w:color w:val="auto"/>
                <w:kern w:val="0"/>
                <w:sz w:val="18"/>
                <w:szCs w:val="18"/>
              </w:rPr>
            </w:pPr>
            <w:r>
              <w:rPr>
                <w:color w:val="auto"/>
                <w:sz w:val="18"/>
                <w:szCs w:val="18"/>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rPr>
        <w:tc>
          <w:tcPr>
            <w:tcW w:w="1267" w:type="dxa"/>
            <w:vMerge w:val="continue"/>
            <w:vAlign w:val="center"/>
          </w:tcPr>
          <w:p>
            <w:pPr>
              <w:adjustRightInd w:val="0"/>
              <w:snapToGrid w:val="0"/>
              <w:spacing w:line="276" w:lineRule="auto"/>
              <w:jc w:val="center"/>
              <w:rPr>
                <w:color w:val="auto"/>
                <w:sz w:val="18"/>
                <w:szCs w:val="18"/>
              </w:rPr>
            </w:pPr>
          </w:p>
        </w:tc>
        <w:tc>
          <w:tcPr>
            <w:tcW w:w="1166" w:type="dxa"/>
            <w:vAlign w:val="center"/>
          </w:tcPr>
          <w:p>
            <w:pPr>
              <w:adjustRightInd w:val="0"/>
              <w:snapToGrid w:val="0"/>
              <w:spacing w:line="276" w:lineRule="auto"/>
              <w:jc w:val="center"/>
              <w:rPr>
                <w:color w:val="auto"/>
                <w:sz w:val="18"/>
                <w:szCs w:val="18"/>
              </w:rPr>
            </w:pPr>
            <w:r>
              <w:rPr>
                <w:color w:val="auto"/>
                <w:sz w:val="18"/>
                <w:szCs w:val="18"/>
              </w:rPr>
              <w:t>52.5</w:t>
            </w:r>
          </w:p>
        </w:tc>
        <w:tc>
          <w:tcPr>
            <w:tcW w:w="1550" w:type="dxa"/>
            <w:vAlign w:val="center"/>
          </w:tcPr>
          <w:p>
            <w:pPr>
              <w:spacing w:line="276" w:lineRule="auto"/>
              <w:jc w:val="center"/>
              <w:rPr>
                <w:color w:val="auto"/>
                <w:sz w:val="18"/>
                <w:szCs w:val="18"/>
              </w:rPr>
            </w:pPr>
            <w:r>
              <w:rPr>
                <w:color w:val="auto"/>
                <w:sz w:val="18"/>
                <w:szCs w:val="18"/>
              </w:rPr>
              <w:t>≥23.0</w:t>
            </w:r>
          </w:p>
        </w:tc>
        <w:tc>
          <w:tcPr>
            <w:tcW w:w="1567" w:type="dxa"/>
            <w:vAlign w:val="center"/>
          </w:tcPr>
          <w:p>
            <w:pPr>
              <w:spacing w:line="276" w:lineRule="auto"/>
              <w:ind w:right="29" w:rightChars="12"/>
              <w:jc w:val="center"/>
              <w:rPr>
                <w:color w:val="auto"/>
                <w:sz w:val="18"/>
                <w:szCs w:val="18"/>
              </w:rPr>
            </w:pPr>
            <w:r>
              <w:rPr>
                <w:color w:val="auto"/>
                <w:sz w:val="18"/>
                <w:szCs w:val="18"/>
              </w:rPr>
              <w:t>≥52.5</w:t>
            </w:r>
          </w:p>
        </w:tc>
        <w:tc>
          <w:tcPr>
            <w:tcW w:w="1433" w:type="dxa"/>
            <w:vAlign w:val="center"/>
          </w:tcPr>
          <w:p>
            <w:pPr>
              <w:spacing w:line="276" w:lineRule="auto"/>
              <w:ind w:right="29" w:rightChars="12"/>
              <w:jc w:val="center"/>
              <w:rPr>
                <w:color w:val="auto"/>
                <w:sz w:val="18"/>
                <w:szCs w:val="18"/>
              </w:rPr>
            </w:pPr>
            <w:r>
              <w:rPr>
                <w:color w:val="auto"/>
                <w:sz w:val="18"/>
                <w:szCs w:val="18"/>
              </w:rPr>
              <w:t>≥4.0</w:t>
            </w:r>
          </w:p>
        </w:tc>
        <w:tc>
          <w:tcPr>
            <w:tcW w:w="1650" w:type="dxa"/>
            <w:vAlign w:val="center"/>
          </w:tcPr>
          <w:p>
            <w:pPr>
              <w:spacing w:line="276" w:lineRule="auto"/>
              <w:ind w:right="29" w:rightChars="12"/>
              <w:jc w:val="center"/>
              <w:rPr>
                <w:color w:val="auto"/>
                <w:sz w:val="18"/>
                <w:szCs w:val="18"/>
              </w:rPr>
            </w:pPr>
            <w:r>
              <w:rPr>
                <w:color w:val="auto"/>
                <w:sz w:val="18"/>
                <w:szCs w:val="18"/>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6" w:hRule="atLeast"/>
        </w:trPr>
        <w:tc>
          <w:tcPr>
            <w:tcW w:w="1267" w:type="dxa"/>
            <w:vMerge w:val="continue"/>
            <w:vAlign w:val="center"/>
          </w:tcPr>
          <w:p>
            <w:pPr>
              <w:adjustRightInd w:val="0"/>
              <w:snapToGrid w:val="0"/>
              <w:spacing w:line="276" w:lineRule="auto"/>
              <w:jc w:val="center"/>
              <w:rPr>
                <w:color w:val="auto"/>
                <w:kern w:val="0"/>
                <w:sz w:val="18"/>
                <w:szCs w:val="18"/>
              </w:rPr>
            </w:pPr>
          </w:p>
        </w:tc>
        <w:tc>
          <w:tcPr>
            <w:tcW w:w="1166" w:type="dxa"/>
            <w:vAlign w:val="center"/>
          </w:tcPr>
          <w:p>
            <w:pPr>
              <w:adjustRightInd w:val="0"/>
              <w:snapToGrid w:val="0"/>
              <w:spacing w:line="276" w:lineRule="auto"/>
              <w:jc w:val="center"/>
              <w:rPr>
                <w:color w:val="auto"/>
                <w:sz w:val="18"/>
                <w:szCs w:val="18"/>
              </w:rPr>
            </w:pPr>
            <w:r>
              <w:rPr>
                <w:color w:val="auto"/>
                <w:sz w:val="18"/>
                <w:szCs w:val="18"/>
              </w:rPr>
              <w:t>62.5</w:t>
            </w:r>
          </w:p>
        </w:tc>
        <w:tc>
          <w:tcPr>
            <w:tcW w:w="1550" w:type="dxa"/>
            <w:vAlign w:val="center"/>
          </w:tcPr>
          <w:p>
            <w:pPr>
              <w:spacing w:line="276" w:lineRule="auto"/>
              <w:jc w:val="center"/>
              <w:rPr>
                <w:color w:val="auto"/>
                <w:sz w:val="18"/>
                <w:szCs w:val="18"/>
              </w:rPr>
            </w:pPr>
            <w:r>
              <w:rPr>
                <w:color w:val="auto"/>
                <w:sz w:val="18"/>
                <w:szCs w:val="18"/>
              </w:rPr>
              <w:t>≥28.0</w:t>
            </w:r>
          </w:p>
        </w:tc>
        <w:tc>
          <w:tcPr>
            <w:tcW w:w="1567" w:type="dxa"/>
            <w:vAlign w:val="center"/>
          </w:tcPr>
          <w:p>
            <w:pPr>
              <w:spacing w:line="276" w:lineRule="auto"/>
              <w:ind w:right="29" w:rightChars="12"/>
              <w:jc w:val="center"/>
              <w:rPr>
                <w:color w:val="auto"/>
                <w:sz w:val="18"/>
                <w:szCs w:val="18"/>
              </w:rPr>
            </w:pPr>
            <w:r>
              <w:rPr>
                <w:color w:val="auto"/>
                <w:sz w:val="18"/>
                <w:szCs w:val="18"/>
              </w:rPr>
              <w:t>≥62.5</w:t>
            </w:r>
          </w:p>
        </w:tc>
        <w:tc>
          <w:tcPr>
            <w:tcW w:w="1433" w:type="dxa"/>
            <w:vAlign w:val="center"/>
          </w:tcPr>
          <w:p>
            <w:pPr>
              <w:spacing w:line="276" w:lineRule="auto"/>
              <w:ind w:right="29" w:rightChars="12"/>
              <w:jc w:val="center"/>
              <w:rPr>
                <w:color w:val="auto"/>
                <w:sz w:val="18"/>
                <w:szCs w:val="18"/>
              </w:rPr>
            </w:pPr>
            <w:r>
              <w:rPr>
                <w:color w:val="auto"/>
                <w:sz w:val="18"/>
                <w:szCs w:val="18"/>
              </w:rPr>
              <w:t>≥5.0</w:t>
            </w:r>
          </w:p>
        </w:tc>
        <w:tc>
          <w:tcPr>
            <w:tcW w:w="1650" w:type="dxa"/>
            <w:vAlign w:val="center"/>
          </w:tcPr>
          <w:p>
            <w:pPr>
              <w:spacing w:line="276" w:lineRule="auto"/>
              <w:ind w:right="29" w:rightChars="12"/>
              <w:jc w:val="center"/>
              <w:rPr>
                <w:color w:val="auto"/>
                <w:sz w:val="18"/>
                <w:szCs w:val="18"/>
              </w:rPr>
            </w:pPr>
            <w:r>
              <w:rPr>
                <w:color w:val="auto"/>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9" w:hRule="atLeast"/>
        </w:trPr>
        <w:tc>
          <w:tcPr>
            <w:tcW w:w="1267" w:type="dxa"/>
            <w:vMerge w:val="restart"/>
            <w:vAlign w:val="center"/>
          </w:tcPr>
          <w:p>
            <w:pPr>
              <w:adjustRightInd w:val="0"/>
              <w:snapToGrid w:val="0"/>
              <w:spacing w:line="276" w:lineRule="auto"/>
              <w:jc w:val="center"/>
              <w:rPr>
                <w:color w:val="auto"/>
                <w:sz w:val="18"/>
                <w:szCs w:val="18"/>
              </w:rPr>
            </w:pPr>
            <w:r>
              <w:rPr>
                <w:color w:val="auto"/>
                <w:kern w:val="0"/>
                <w:sz w:val="18"/>
                <w:szCs w:val="18"/>
              </w:rPr>
              <w:t>普通硅酸盐水泥</w:t>
            </w:r>
          </w:p>
        </w:tc>
        <w:tc>
          <w:tcPr>
            <w:tcW w:w="1166" w:type="dxa"/>
            <w:vAlign w:val="center"/>
          </w:tcPr>
          <w:p>
            <w:pPr>
              <w:adjustRightInd w:val="0"/>
              <w:snapToGrid w:val="0"/>
              <w:spacing w:line="276" w:lineRule="auto"/>
              <w:jc w:val="center"/>
              <w:rPr>
                <w:color w:val="auto"/>
                <w:sz w:val="18"/>
                <w:szCs w:val="18"/>
              </w:rPr>
            </w:pPr>
            <w:r>
              <w:rPr>
                <w:color w:val="auto"/>
                <w:sz w:val="18"/>
                <w:szCs w:val="18"/>
              </w:rPr>
              <w:t>42.5</w:t>
            </w:r>
          </w:p>
        </w:tc>
        <w:tc>
          <w:tcPr>
            <w:tcW w:w="1550" w:type="dxa"/>
            <w:vAlign w:val="center"/>
          </w:tcPr>
          <w:p>
            <w:pPr>
              <w:spacing w:line="276" w:lineRule="auto"/>
              <w:jc w:val="center"/>
              <w:rPr>
                <w:color w:val="auto"/>
                <w:sz w:val="18"/>
                <w:szCs w:val="18"/>
              </w:rPr>
            </w:pPr>
            <w:r>
              <w:rPr>
                <w:color w:val="auto"/>
                <w:sz w:val="18"/>
                <w:szCs w:val="18"/>
              </w:rPr>
              <w:t>≥17.0</w:t>
            </w:r>
          </w:p>
        </w:tc>
        <w:tc>
          <w:tcPr>
            <w:tcW w:w="1567" w:type="dxa"/>
            <w:vAlign w:val="center"/>
          </w:tcPr>
          <w:p>
            <w:pPr>
              <w:spacing w:line="276" w:lineRule="auto"/>
              <w:ind w:right="29" w:rightChars="12"/>
              <w:jc w:val="center"/>
              <w:rPr>
                <w:color w:val="auto"/>
                <w:sz w:val="18"/>
                <w:szCs w:val="18"/>
              </w:rPr>
            </w:pPr>
            <w:r>
              <w:rPr>
                <w:color w:val="auto"/>
                <w:sz w:val="18"/>
                <w:szCs w:val="18"/>
              </w:rPr>
              <w:t>≥42.5</w:t>
            </w:r>
          </w:p>
        </w:tc>
        <w:tc>
          <w:tcPr>
            <w:tcW w:w="1433" w:type="dxa"/>
            <w:vAlign w:val="center"/>
          </w:tcPr>
          <w:p>
            <w:pPr>
              <w:spacing w:line="276" w:lineRule="auto"/>
              <w:ind w:right="29" w:rightChars="12"/>
              <w:jc w:val="center"/>
              <w:rPr>
                <w:color w:val="auto"/>
                <w:sz w:val="18"/>
                <w:szCs w:val="18"/>
              </w:rPr>
            </w:pPr>
            <w:r>
              <w:rPr>
                <w:color w:val="auto"/>
                <w:sz w:val="18"/>
                <w:szCs w:val="18"/>
              </w:rPr>
              <w:t>≥3.5</w:t>
            </w:r>
          </w:p>
        </w:tc>
        <w:tc>
          <w:tcPr>
            <w:tcW w:w="1650" w:type="dxa"/>
            <w:vAlign w:val="center"/>
          </w:tcPr>
          <w:p>
            <w:pPr>
              <w:spacing w:line="276" w:lineRule="auto"/>
              <w:ind w:right="29" w:rightChars="12"/>
              <w:jc w:val="center"/>
              <w:rPr>
                <w:color w:val="auto"/>
                <w:sz w:val="18"/>
                <w:szCs w:val="18"/>
              </w:rPr>
            </w:pPr>
            <w:r>
              <w:rPr>
                <w:color w:val="auto"/>
                <w:sz w:val="18"/>
                <w:szCs w:val="18"/>
              </w:rPr>
              <w:t>≥6.5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6" w:hRule="atLeast"/>
        </w:trPr>
        <w:tc>
          <w:tcPr>
            <w:tcW w:w="1267" w:type="dxa"/>
            <w:vMerge w:val="continue"/>
            <w:vAlign w:val="center"/>
          </w:tcPr>
          <w:p>
            <w:pPr>
              <w:adjustRightInd w:val="0"/>
              <w:snapToGrid w:val="0"/>
              <w:spacing w:line="276" w:lineRule="auto"/>
              <w:jc w:val="center"/>
              <w:rPr>
                <w:color w:val="auto"/>
                <w:sz w:val="18"/>
                <w:szCs w:val="18"/>
              </w:rPr>
            </w:pPr>
          </w:p>
        </w:tc>
        <w:tc>
          <w:tcPr>
            <w:tcW w:w="1166" w:type="dxa"/>
            <w:vAlign w:val="center"/>
          </w:tcPr>
          <w:p>
            <w:pPr>
              <w:adjustRightInd w:val="0"/>
              <w:snapToGrid w:val="0"/>
              <w:spacing w:line="276" w:lineRule="auto"/>
              <w:jc w:val="center"/>
              <w:rPr>
                <w:color w:val="auto"/>
                <w:sz w:val="18"/>
                <w:szCs w:val="18"/>
              </w:rPr>
            </w:pPr>
            <w:r>
              <w:rPr>
                <w:color w:val="auto"/>
                <w:sz w:val="18"/>
                <w:szCs w:val="18"/>
              </w:rPr>
              <w:t>52.5</w:t>
            </w:r>
          </w:p>
        </w:tc>
        <w:tc>
          <w:tcPr>
            <w:tcW w:w="1550" w:type="dxa"/>
            <w:vAlign w:val="center"/>
          </w:tcPr>
          <w:p>
            <w:pPr>
              <w:spacing w:line="276" w:lineRule="auto"/>
              <w:jc w:val="center"/>
              <w:rPr>
                <w:color w:val="auto"/>
                <w:sz w:val="18"/>
                <w:szCs w:val="18"/>
              </w:rPr>
            </w:pPr>
            <w:r>
              <w:rPr>
                <w:color w:val="auto"/>
                <w:sz w:val="18"/>
                <w:szCs w:val="18"/>
              </w:rPr>
              <w:t>≥23.0</w:t>
            </w:r>
          </w:p>
        </w:tc>
        <w:tc>
          <w:tcPr>
            <w:tcW w:w="1567" w:type="dxa"/>
            <w:vAlign w:val="center"/>
          </w:tcPr>
          <w:p>
            <w:pPr>
              <w:spacing w:line="276" w:lineRule="auto"/>
              <w:ind w:right="29" w:rightChars="12"/>
              <w:jc w:val="center"/>
              <w:rPr>
                <w:color w:val="auto"/>
                <w:sz w:val="18"/>
                <w:szCs w:val="18"/>
              </w:rPr>
            </w:pPr>
            <w:r>
              <w:rPr>
                <w:color w:val="auto"/>
                <w:sz w:val="18"/>
                <w:szCs w:val="18"/>
              </w:rPr>
              <w:t>≥52.5</w:t>
            </w:r>
          </w:p>
        </w:tc>
        <w:tc>
          <w:tcPr>
            <w:tcW w:w="1433" w:type="dxa"/>
            <w:vAlign w:val="center"/>
          </w:tcPr>
          <w:p>
            <w:pPr>
              <w:spacing w:line="276" w:lineRule="auto"/>
              <w:ind w:right="29" w:rightChars="12"/>
              <w:jc w:val="center"/>
              <w:rPr>
                <w:color w:val="auto"/>
                <w:sz w:val="18"/>
                <w:szCs w:val="18"/>
              </w:rPr>
            </w:pPr>
            <w:r>
              <w:rPr>
                <w:color w:val="auto"/>
                <w:sz w:val="18"/>
                <w:szCs w:val="18"/>
              </w:rPr>
              <w:t>≥4.0</w:t>
            </w:r>
          </w:p>
        </w:tc>
        <w:tc>
          <w:tcPr>
            <w:tcW w:w="1650" w:type="dxa"/>
            <w:vAlign w:val="center"/>
          </w:tcPr>
          <w:p>
            <w:pPr>
              <w:spacing w:line="276" w:lineRule="auto"/>
              <w:ind w:right="29" w:rightChars="12"/>
              <w:jc w:val="center"/>
              <w:rPr>
                <w:color w:val="auto"/>
                <w:sz w:val="18"/>
                <w:szCs w:val="18"/>
              </w:rPr>
            </w:pPr>
            <w:r>
              <w:rPr>
                <w:color w:val="auto"/>
                <w:sz w:val="18"/>
                <w:szCs w:val="18"/>
              </w:rPr>
              <w:t>≥7.0</w:t>
            </w:r>
          </w:p>
        </w:tc>
      </w:tr>
    </w:tbl>
    <w:p>
      <w:pPr>
        <w:pStyle w:val="48"/>
        <w:numPr>
          <w:ilvl w:val="0"/>
          <w:numId w:val="9"/>
        </w:numPr>
        <w:ind w:left="0" w:firstLine="0"/>
        <w:rPr>
          <w:b/>
          <w:bCs/>
          <w:snapToGrid w:val="0"/>
          <w:color w:val="auto"/>
          <w:szCs w:val="24"/>
        </w:rPr>
      </w:pPr>
      <w:r>
        <w:rPr>
          <w:snapToGrid w:val="0"/>
          <w:color w:val="auto"/>
          <w:szCs w:val="24"/>
        </w:rPr>
        <w:t>矿物掺合料应选用能改善混凝土性能且品质稳定的产品，宜为粉煤灰、矿渣粉、硅灰或几种复配而成的复合矿物掺合料。矿物掺合料的性能应符合表4.1.2-1～表4.1.2-3的规定。检验方法和检验数量应符合《铁路混凝土工程施工质量验收标准》TB 10424的规定。使用其他新型掺合料时，必须对混凝土的性能进行试验研究，经建设单位评审后方可使用。</w:t>
      </w:r>
    </w:p>
    <w:p>
      <w:pPr>
        <w:adjustRightInd w:val="0"/>
        <w:snapToGrid w:val="0"/>
        <w:spacing w:line="400" w:lineRule="exact"/>
        <w:jc w:val="center"/>
        <w:rPr>
          <w:rFonts w:eastAsia="黑体"/>
          <w:bCs/>
          <w:color w:val="auto"/>
          <w:sz w:val="21"/>
          <w:szCs w:val="21"/>
        </w:rPr>
      </w:pPr>
      <w:r>
        <w:rPr>
          <w:rFonts w:eastAsia="黑体"/>
          <w:bCs/>
          <w:color w:val="auto"/>
          <w:sz w:val="21"/>
          <w:szCs w:val="21"/>
        </w:rPr>
        <w:t>表4.1.2-1  粉煤灰的性能</w:t>
      </w:r>
    </w:p>
    <w:tbl>
      <w:tblPr>
        <w:tblStyle w:val="44"/>
        <w:tblW w:w="871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90"/>
        <w:gridCol w:w="1234"/>
        <w:gridCol w:w="1500"/>
        <w:gridCol w:w="1616"/>
        <w:gridCol w:w="1550"/>
        <w:gridCol w:w="19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Merge w:val="restart"/>
            <w:vAlign w:val="center"/>
          </w:tcPr>
          <w:p>
            <w:pPr>
              <w:tabs>
                <w:tab w:val="left" w:pos="3430"/>
              </w:tabs>
              <w:adjustRightInd w:val="0"/>
              <w:snapToGrid w:val="0"/>
              <w:spacing w:line="320" w:lineRule="exact"/>
              <w:jc w:val="center"/>
              <w:rPr>
                <w:color w:val="auto"/>
                <w:sz w:val="18"/>
                <w:szCs w:val="18"/>
              </w:rPr>
            </w:pPr>
            <w:r>
              <w:rPr>
                <w:color w:val="auto"/>
                <w:sz w:val="18"/>
                <w:szCs w:val="18"/>
              </w:rPr>
              <w:t>序号</w:t>
            </w:r>
          </w:p>
        </w:tc>
        <w:tc>
          <w:tcPr>
            <w:tcW w:w="2734" w:type="dxa"/>
            <w:gridSpan w:val="2"/>
            <w:vMerge w:val="restart"/>
            <w:vAlign w:val="center"/>
          </w:tcPr>
          <w:p>
            <w:pPr>
              <w:tabs>
                <w:tab w:val="left" w:pos="3430"/>
              </w:tabs>
              <w:adjustRightInd w:val="0"/>
              <w:snapToGrid w:val="0"/>
              <w:spacing w:line="320" w:lineRule="exact"/>
              <w:jc w:val="center"/>
              <w:rPr>
                <w:color w:val="auto"/>
                <w:sz w:val="18"/>
                <w:szCs w:val="18"/>
              </w:rPr>
            </w:pPr>
            <w:r>
              <w:rPr>
                <w:color w:val="auto"/>
                <w:sz w:val="18"/>
                <w:szCs w:val="18"/>
              </w:rPr>
              <w:t>检验项目</w:t>
            </w:r>
          </w:p>
        </w:tc>
        <w:tc>
          <w:tcPr>
            <w:tcW w:w="3166"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技术要求</w:t>
            </w:r>
          </w:p>
        </w:tc>
        <w:tc>
          <w:tcPr>
            <w:tcW w:w="1923" w:type="dxa"/>
            <w:vMerge w:val="restart"/>
            <w:vAlign w:val="center"/>
          </w:tcPr>
          <w:p>
            <w:pPr>
              <w:tabs>
                <w:tab w:val="left" w:pos="3430"/>
              </w:tabs>
              <w:adjustRightInd w:val="0"/>
              <w:snapToGrid w:val="0"/>
              <w:spacing w:line="320" w:lineRule="exact"/>
              <w:jc w:val="center"/>
              <w:rPr>
                <w:color w:val="auto"/>
                <w:sz w:val="18"/>
                <w:szCs w:val="18"/>
              </w:rPr>
            </w:pPr>
            <w:r>
              <w:rPr>
                <w:color w:val="auto"/>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Merge w:val="continue"/>
            <w:vAlign w:val="center"/>
          </w:tcPr>
          <w:p>
            <w:pPr>
              <w:tabs>
                <w:tab w:val="left" w:pos="3430"/>
              </w:tabs>
              <w:adjustRightInd w:val="0"/>
              <w:snapToGrid w:val="0"/>
              <w:spacing w:line="320" w:lineRule="exact"/>
              <w:jc w:val="center"/>
              <w:rPr>
                <w:color w:val="auto"/>
                <w:sz w:val="18"/>
                <w:szCs w:val="18"/>
              </w:rPr>
            </w:pPr>
          </w:p>
        </w:tc>
        <w:tc>
          <w:tcPr>
            <w:tcW w:w="2734" w:type="dxa"/>
            <w:gridSpan w:val="2"/>
            <w:vMerge w:val="continue"/>
            <w:vAlign w:val="center"/>
          </w:tcPr>
          <w:p>
            <w:pPr>
              <w:tabs>
                <w:tab w:val="left" w:pos="3430"/>
              </w:tabs>
              <w:adjustRightInd w:val="0"/>
              <w:snapToGrid w:val="0"/>
              <w:spacing w:line="320" w:lineRule="exact"/>
              <w:jc w:val="center"/>
              <w:rPr>
                <w:color w:val="auto"/>
                <w:sz w:val="18"/>
                <w:szCs w:val="18"/>
              </w:rPr>
            </w:pPr>
          </w:p>
        </w:tc>
        <w:tc>
          <w:tcPr>
            <w:tcW w:w="1616" w:type="dxa"/>
            <w:vAlign w:val="center"/>
          </w:tcPr>
          <w:p>
            <w:pPr>
              <w:adjustRightInd w:val="0"/>
              <w:snapToGrid w:val="0"/>
              <w:spacing w:line="320" w:lineRule="exact"/>
              <w:jc w:val="center"/>
              <w:rPr>
                <w:color w:val="auto"/>
                <w:sz w:val="18"/>
                <w:szCs w:val="18"/>
              </w:rPr>
            </w:pPr>
            <w:r>
              <w:rPr>
                <w:rFonts w:hint="eastAsia" w:ascii="宋体" w:hAnsi="宋体" w:cs="宋体"/>
                <w:color w:val="auto"/>
                <w:sz w:val="18"/>
                <w:szCs w:val="18"/>
              </w:rPr>
              <w:t>Ⅰ</w:t>
            </w:r>
            <w:r>
              <w:rPr>
                <w:color w:val="auto"/>
                <w:sz w:val="18"/>
                <w:szCs w:val="18"/>
              </w:rPr>
              <w:t>级</w:t>
            </w:r>
          </w:p>
        </w:tc>
        <w:tc>
          <w:tcPr>
            <w:tcW w:w="1550" w:type="dxa"/>
            <w:vAlign w:val="center"/>
          </w:tcPr>
          <w:p>
            <w:pPr>
              <w:adjustRightInd w:val="0"/>
              <w:snapToGrid w:val="0"/>
              <w:spacing w:line="320" w:lineRule="exact"/>
              <w:jc w:val="center"/>
              <w:rPr>
                <w:color w:val="auto"/>
                <w:sz w:val="18"/>
                <w:szCs w:val="18"/>
              </w:rPr>
            </w:pPr>
            <w:r>
              <w:rPr>
                <w:rFonts w:hint="eastAsia" w:ascii="宋体" w:hAnsi="宋体" w:cs="宋体"/>
                <w:color w:val="auto"/>
                <w:sz w:val="18"/>
                <w:szCs w:val="18"/>
              </w:rPr>
              <w:t>Ⅱ</w:t>
            </w:r>
            <w:r>
              <w:rPr>
                <w:color w:val="auto"/>
                <w:sz w:val="18"/>
                <w:szCs w:val="18"/>
              </w:rPr>
              <w:t>级</w:t>
            </w:r>
          </w:p>
        </w:tc>
        <w:tc>
          <w:tcPr>
            <w:tcW w:w="1923" w:type="dxa"/>
            <w:vMerge w:val="continue"/>
            <w:vAlign w:val="center"/>
          </w:tcPr>
          <w:p>
            <w:pPr>
              <w:adjustRightInd w:val="0"/>
              <w:snapToGrid w:val="0"/>
              <w:spacing w:line="320" w:lineRule="exact"/>
              <w:jc w:val="center"/>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1</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细度</w:t>
            </w:r>
          </w:p>
          <w:p>
            <w:pPr>
              <w:tabs>
                <w:tab w:val="left" w:pos="3430"/>
              </w:tabs>
              <w:adjustRightInd w:val="0"/>
              <w:snapToGrid w:val="0"/>
              <w:spacing w:line="320" w:lineRule="exact"/>
              <w:jc w:val="center"/>
              <w:rPr>
                <w:color w:val="auto"/>
                <w:sz w:val="18"/>
                <w:szCs w:val="18"/>
              </w:rPr>
            </w:pPr>
            <w:r>
              <w:rPr>
                <w:color w:val="auto"/>
                <w:sz w:val="18"/>
                <w:szCs w:val="18"/>
              </w:rPr>
              <w:t>（45μm方孔筛筛余）</w:t>
            </w:r>
          </w:p>
        </w:tc>
        <w:tc>
          <w:tcPr>
            <w:tcW w:w="1616" w:type="dxa"/>
            <w:vAlign w:val="center"/>
          </w:tcPr>
          <w:p>
            <w:pPr>
              <w:tabs>
                <w:tab w:val="left" w:pos="3430"/>
              </w:tabs>
              <w:adjustRightInd w:val="0"/>
              <w:snapToGrid w:val="0"/>
              <w:spacing w:line="320" w:lineRule="exact"/>
              <w:jc w:val="center"/>
              <w:rPr>
                <w:color w:val="auto"/>
                <w:sz w:val="18"/>
                <w:szCs w:val="18"/>
              </w:rPr>
            </w:pPr>
            <w:r>
              <w:rPr>
                <w:color w:val="auto"/>
                <w:sz w:val="18"/>
                <w:szCs w:val="18"/>
              </w:rPr>
              <w:t>≤12.0%</w:t>
            </w:r>
          </w:p>
        </w:tc>
        <w:tc>
          <w:tcPr>
            <w:tcW w:w="1550" w:type="dxa"/>
            <w:vAlign w:val="center"/>
          </w:tcPr>
          <w:p>
            <w:pPr>
              <w:tabs>
                <w:tab w:val="left" w:pos="3430"/>
              </w:tabs>
              <w:adjustRightInd w:val="0"/>
              <w:snapToGrid w:val="0"/>
              <w:spacing w:line="320" w:lineRule="exact"/>
              <w:jc w:val="center"/>
              <w:rPr>
                <w:color w:val="auto"/>
                <w:sz w:val="18"/>
                <w:szCs w:val="18"/>
              </w:rPr>
            </w:pPr>
            <w:r>
              <w:rPr>
                <w:color w:val="auto"/>
                <w:sz w:val="18"/>
                <w:szCs w:val="18"/>
              </w:rPr>
              <w:t>≤30.0%</w:t>
            </w:r>
          </w:p>
        </w:tc>
        <w:tc>
          <w:tcPr>
            <w:tcW w:w="1923"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按GB1596检验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2</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需水量比</w:t>
            </w:r>
          </w:p>
        </w:tc>
        <w:tc>
          <w:tcPr>
            <w:tcW w:w="1616" w:type="dxa"/>
            <w:vAlign w:val="center"/>
          </w:tcPr>
          <w:p>
            <w:pPr>
              <w:keepNext/>
              <w:tabs>
                <w:tab w:val="left" w:pos="3430"/>
              </w:tabs>
              <w:adjustRightInd w:val="0"/>
              <w:snapToGrid w:val="0"/>
              <w:spacing w:line="320" w:lineRule="exact"/>
              <w:jc w:val="center"/>
              <w:rPr>
                <w:color w:val="auto"/>
                <w:sz w:val="18"/>
                <w:szCs w:val="18"/>
              </w:rPr>
            </w:pPr>
            <w:r>
              <w:rPr>
                <w:color w:val="auto"/>
                <w:sz w:val="18"/>
                <w:szCs w:val="18"/>
              </w:rPr>
              <w:t>≤95%</w:t>
            </w:r>
          </w:p>
        </w:tc>
        <w:tc>
          <w:tcPr>
            <w:tcW w:w="1550" w:type="dxa"/>
            <w:vAlign w:val="center"/>
          </w:tcPr>
          <w:p>
            <w:pPr>
              <w:keepNext/>
              <w:tabs>
                <w:tab w:val="left" w:pos="3430"/>
              </w:tabs>
              <w:adjustRightInd w:val="0"/>
              <w:snapToGrid w:val="0"/>
              <w:spacing w:line="320" w:lineRule="exact"/>
              <w:jc w:val="center"/>
              <w:rPr>
                <w:color w:val="auto"/>
                <w:sz w:val="18"/>
                <w:szCs w:val="18"/>
              </w:rPr>
            </w:pPr>
            <w:r>
              <w:rPr>
                <w:color w:val="auto"/>
                <w:sz w:val="18"/>
                <w:szCs w:val="18"/>
              </w:rPr>
              <w:t>≤105%</w:t>
            </w:r>
          </w:p>
        </w:tc>
        <w:tc>
          <w:tcPr>
            <w:tcW w:w="1923" w:type="dxa"/>
            <w:vAlign w:val="center"/>
          </w:tcPr>
          <w:p>
            <w:pPr>
              <w:keepNext/>
              <w:tabs>
                <w:tab w:val="left" w:pos="3430"/>
              </w:tabs>
              <w:adjustRightInd w:val="0"/>
              <w:snapToGrid w:val="0"/>
              <w:spacing w:line="240" w:lineRule="exact"/>
              <w:jc w:val="center"/>
              <w:rPr>
                <w:color w:val="auto"/>
                <w:sz w:val="18"/>
                <w:szCs w:val="18"/>
              </w:rPr>
            </w:pPr>
            <w:r>
              <w:rPr>
                <w:color w:val="auto"/>
                <w:sz w:val="18"/>
                <w:szCs w:val="18"/>
              </w:rPr>
              <w:t>按GB1596检验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 w:val="center" w:pos="4201"/>
                <w:tab w:val="right" w:leader="dot" w:pos="9298"/>
              </w:tabs>
              <w:autoSpaceDE w:val="0"/>
              <w:autoSpaceDN w:val="0"/>
              <w:adjustRightInd w:val="0"/>
              <w:snapToGrid w:val="0"/>
              <w:spacing w:line="320" w:lineRule="exact"/>
              <w:jc w:val="center"/>
              <w:rPr>
                <w:color w:val="auto"/>
                <w:sz w:val="18"/>
                <w:szCs w:val="18"/>
              </w:rPr>
            </w:pPr>
            <w:r>
              <w:rPr>
                <w:color w:val="auto"/>
                <w:sz w:val="18"/>
                <w:szCs w:val="18"/>
              </w:rPr>
              <w:t>3</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烧失量</w:t>
            </w:r>
          </w:p>
        </w:tc>
        <w:tc>
          <w:tcPr>
            <w:tcW w:w="1616" w:type="dxa"/>
            <w:vAlign w:val="center"/>
          </w:tcPr>
          <w:p>
            <w:pPr>
              <w:keepNext/>
              <w:tabs>
                <w:tab w:val="left" w:pos="3430"/>
              </w:tabs>
              <w:adjustRightInd w:val="0"/>
              <w:snapToGrid w:val="0"/>
              <w:spacing w:line="320" w:lineRule="exact"/>
              <w:jc w:val="center"/>
              <w:rPr>
                <w:color w:val="auto"/>
                <w:sz w:val="18"/>
                <w:szCs w:val="18"/>
              </w:rPr>
            </w:pPr>
            <w:r>
              <w:rPr>
                <w:color w:val="auto"/>
                <w:sz w:val="18"/>
                <w:szCs w:val="18"/>
              </w:rPr>
              <w:t>≤5.0%</w:t>
            </w:r>
          </w:p>
        </w:tc>
        <w:tc>
          <w:tcPr>
            <w:tcW w:w="1550" w:type="dxa"/>
            <w:vAlign w:val="center"/>
          </w:tcPr>
          <w:p>
            <w:pPr>
              <w:keepNext/>
              <w:tabs>
                <w:tab w:val="left" w:pos="3430"/>
              </w:tabs>
              <w:adjustRightInd w:val="0"/>
              <w:snapToGrid w:val="0"/>
              <w:spacing w:line="320" w:lineRule="exact"/>
              <w:jc w:val="center"/>
              <w:rPr>
                <w:color w:val="auto"/>
                <w:sz w:val="18"/>
                <w:szCs w:val="18"/>
              </w:rPr>
            </w:pPr>
            <w:r>
              <w:rPr>
                <w:color w:val="auto"/>
                <w:sz w:val="18"/>
                <w:szCs w:val="18"/>
              </w:rPr>
              <w:t>≤8.0%</w:t>
            </w:r>
          </w:p>
        </w:tc>
        <w:tc>
          <w:tcPr>
            <w:tcW w:w="1923" w:type="dxa"/>
            <w:vAlign w:val="center"/>
          </w:tcPr>
          <w:p>
            <w:pPr>
              <w:keepNext/>
              <w:tabs>
                <w:tab w:val="left" w:pos="3430"/>
              </w:tabs>
              <w:adjustRightInd w:val="0"/>
              <w:snapToGrid w:val="0"/>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4</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氯离子含量</w:t>
            </w:r>
          </w:p>
        </w:tc>
        <w:tc>
          <w:tcPr>
            <w:tcW w:w="3166"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≤0.02%</w:t>
            </w:r>
          </w:p>
        </w:tc>
        <w:tc>
          <w:tcPr>
            <w:tcW w:w="1923" w:type="dxa"/>
            <w:vAlign w:val="center"/>
          </w:tcPr>
          <w:p>
            <w:pPr>
              <w:tabs>
                <w:tab w:val="left" w:pos="3430"/>
              </w:tabs>
              <w:adjustRightInd w:val="0"/>
              <w:snapToGrid w:val="0"/>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5</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含水量</w:t>
            </w:r>
          </w:p>
        </w:tc>
        <w:tc>
          <w:tcPr>
            <w:tcW w:w="3166"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≤1.0%</w:t>
            </w:r>
          </w:p>
        </w:tc>
        <w:tc>
          <w:tcPr>
            <w:tcW w:w="1923" w:type="dxa"/>
            <w:vAlign w:val="center"/>
          </w:tcPr>
          <w:p>
            <w:pPr>
              <w:tabs>
                <w:tab w:val="left" w:pos="3430"/>
              </w:tabs>
              <w:adjustRightInd w:val="0"/>
              <w:snapToGrid w:val="0"/>
              <w:spacing w:line="320" w:lineRule="exact"/>
              <w:jc w:val="center"/>
              <w:rPr>
                <w:color w:val="auto"/>
                <w:sz w:val="18"/>
                <w:szCs w:val="18"/>
              </w:rPr>
            </w:pPr>
            <w:r>
              <w:rPr>
                <w:color w:val="auto"/>
                <w:sz w:val="18"/>
                <w:szCs w:val="18"/>
              </w:rPr>
              <w:t>按GB1596检验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 w:val="center" w:pos="4201"/>
                <w:tab w:val="right" w:leader="dot" w:pos="9298"/>
              </w:tabs>
              <w:autoSpaceDE w:val="0"/>
              <w:autoSpaceDN w:val="0"/>
              <w:adjustRightInd w:val="0"/>
              <w:snapToGrid w:val="0"/>
              <w:spacing w:line="320" w:lineRule="exact"/>
              <w:jc w:val="center"/>
              <w:rPr>
                <w:color w:val="auto"/>
                <w:sz w:val="18"/>
                <w:szCs w:val="18"/>
              </w:rPr>
            </w:pPr>
            <w:r>
              <w:rPr>
                <w:color w:val="auto"/>
                <w:sz w:val="18"/>
                <w:szCs w:val="18"/>
              </w:rPr>
              <w:t>6</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三氧化硫含量</w:t>
            </w:r>
          </w:p>
        </w:tc>
        <w:tc>
          <w:tcPr>
            <w:tcW w:w="3166"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≤3.0%</w:t>
            </w:r>
          </w:p>
        </w:tc>
        <w:tc>
          <w:tcPr>
            <w:tcW w:w="1923" w:type="dxa"/>
            <w:vAlign w:val="center"/>
          </w:tcPr>
          <w:p>
            <w:pPr>
              <w:tabs>
                <w:tab w:val="left" w:pos="3430"/>
              </w:tabs>
              <w:adjustRightInd w:val="0"/>
              <w:snapToGrid w:val="0"/>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7</w:t>
            </w:r>
          </w:p>
        </w:tc>
        <w:tc>
          <w:tcPr>
            <w:tcW w:w="2734"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半水亚硫酸钙含量</w:t>
            </w:r>
            <w:r>
              <w:rPr>
                <w:color w:val="auto"/>
                <w:sz w:val="18"/>
                <w:szCs w:val="18"/>
                <w:vertAlign w:val="superscript"/>
              </w:rPr>
              <w:t>a</w:t>
            </w:r>
          </w:p>
        </w:tc>
        <w:tc>
          <w:tcPr>
            <w:tcW w:w="3166" w:type="dxa"/>
            <w:gridSpan w:val="2"/>
            <w:vAlign w:val="center"/>
          </w:tcPr>
          <w:p>
            <w:pPr>
              <w:tabs>
                <w:tab w:val="left" w:pos="3430"/>
              </w:tabs>
              <w:adjustRightInd w:val="0"/>
              <w:snapToGrid w:val="0"/>
              <w:spacing w:line="320" w:lineRule="exact"/>
              <w:jc w:val="center"/>
              <w:rPr>
                <w:color w:val="auto"/>
                <w:sz w:val="18"/>
                <w:szCs w:val="18"/>
              </w:rPr>
            </w:pPr>
            <w:r>
              <w:rPr>
                <w:color w:val="auto"/>
                <w:sz w:val="18"/>
                <w:szCs w:val="18"/>
              </w:rPr>
              <w:t>≤3.0%</w:t>
            </w:r>
          </w:p>
        </w:tc>
        <w:tc>
          <w:tcPr>
            <w:tcW w:w="1923" w:type="dxa"/>
            <w:vAlign w:val="center"/>
          </w:tcPr>
          <w:p>
            <w:pPr>
              <w:tabs>
                <w:tab w:val="left" w:pos="3430"/>
              </w:tabs>
              <w:adjustRightInd w:val="0"/>
              <w:snapToGrid w:val="0"/>
              <w:spacing w:line="320" w:lineRule="exact"/>
              <w:jc w:val="center"/>
              <w:rPr>
                <w:color w:val="auto"/>
                <w:sz w:val="18"/>
                <w:szCs w:val="18"/>
              </w:rPr>
            </w:pPr>
            <w:r>
              <w:rPr>
                <w:color w:val="auto"/>
                <w:sz w:val="18"/>
                <w:szCs w:val="18"/>
              </w:rPr>
              <w:t>按GB/T 5484检验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8</w:t>
            </w:r>
          </w:p>
        </w:tc>
        <w:tc>
          <w:tcPr>
            <w:tcW w:w="2734" w:type="dxa"/>
            <w:gridSpan w:val="2"/>
            <w:vAlign w:val="center"/>
          </w:tcPr>
          <w:p>
            <w:pPr>
              <w:tabs>
                <w:tab w:val="left" w:pos="3430"/>
              </w:tabs>
              <w:spacing w:line="320" w:lineRule="exact"/>
              <w:jc w:val="center"/>
              <w:rPr>
                <w:color w:val="auto"/>
                <w:sz w:val="18"/>
                <w:szCs w:val="18"/>
              </w:rPr>
            </w:pPr>
            <w:r>
              <w:rPr>
                <w:color w:val="auto"/>
                <w:sz w:val="18"/>
                <w:szCs w:val="18"/>
              </w:rPr>
              <w:t>氧化钙含量</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≤10%</w:t>
            </w:r>
          </w:p>
        </w:tc>
        <w:tc>
          <w:tcPr>
            <w:tcW w:w="1923" w:type="dxa"/>
            <w:vAlign w:val="center"/>
          </w:tcPr>
          <w:p>
            <w:pPr>
              <w:tabs>
                <w:tab w:val="left" w:pos="3430"/>
              </w:tabs>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9</w:t>
            </w:r>
          </w:p>
        </w:tc>
        <w:tc>
          <w:tcPr>
            <w:tcW w:w="2734" w:type="dxa"/>
            <w:gridSpan w:val="2"/>
            <w:vAlign w:val="center"/>
          </w:tcPr>
          <w:p>
            <w:pPr>
              <w:tabs>
                <w:tab w:val="left" w:pos="3430"/>
              </w:tabs>
              <w:spacing w:line="320" w:lineRule="exact"/>
              <w:jc w:val="center"/>
              <w:rPr>
                <w:color w:val="auto"/>
                <w:sz w:val="18"/>
                <w:szCs w:val="18"/>
              </w:rPr>
            </w:pPr>
            <w:r>
              <w:rPr>
                <w:color w:val="auto"/>
                <w:sz w:val="18"/>
                <w:szCs w:val="18"/>
              </w:rPr>
              <w:t>游离氧化钙含量</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≤1.0%</w:t>
            </w:r>
          </w:p>
        </w:tc>
        <w:tc>
          <w:tcPr>
            <w:tcW w:w="1923" w:type="dxa"/>
            <w:vAlign w:val="center"/>
          </w:tcPr>
          <w:p>
            <w:pPr>
              <w:tabs>
                <w:tab w:val="left" w:pos="3430"/>
              </w:tabs>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10</w:t>
            </w:r>
          </w:p>
        </w:tc>
        <w:tc>
          <w:tcPr>
            <w:tcW w:w="2734" w:type="dxa"/>
            <w:gridSpan w:val="2"/>
            <w:vAlign w:val="center"/>
          </w:tcPr>
          <w:p>
            <w:pPr>
              <w:tabs>
                <w:tab w:val="left" w:pos="3430"/>
              </w:tabs>
              <w:spacing w:line="320" w:lineRule="exact"/>
              <w:jc w:val="center"/>
              <w:rPr>
                <w:color w:val="auto"/>
                <w:sz w:val="18"/>
                <w:szCs w:val="18"/>
              </w:rPr>
            </w:pPr>
            <w:r>
              <w:rPr>
                <w:color w:val="auto"/>
                <w:sz w:val="18"/>
                <w:szCs w:val="18"/>
              </w:rPr>
              <w:t>二氧化硅、三氧化二铝和三氧化二铁总含量</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≥70%</w:t>
            </w:r>
          </w:p>
        </w:tc>
        <w:tc>
          <w:tcPr>
            <w:tcW w:w="1923" w:type="dxa"/>
            <w:vAlign w:val="center"/>
          </w:tcPr>
          <w:p>
            <w:pPr>
              <w:tabs>
                <w:tab w:val="left" w:pos="3430"/>
              </w:tabs>
              <w:spacing w:line="32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11</w:t>
            </w:r>
          </w:p>
        </w:tc>
        <w:tc>
          <w:tcPr>
            <w:tcW w:w="2734" w:type="dxa"/>
            <w:gridSpan w:val="2"/>
            <w:vAlign w:val="center"/>
          </w:tcPr>
          <w:p>
            <w:pPr>
              <w:tabs>
                <w:tab w:val="left" w:pos="3430"/>
              </w:tabs>
              <w:spacing w:line="320" w:lineRule="exact"/>
              <w:jc w:val="center"/>
              <w:rPr>
                <w:color w:val="auto"/>
                <w:sz w:val="18"/>
                <w:szCs w:val="18"/>
              </w:rPr>
            </w:pPr>
            <w:r>
              <w:rPr>
                <w:color w:val="auto"/>
                <w:sz w:val="18"/>
                <w:szCs w:val="18"/>
              </w:rPr>
              <w:t>密度</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≤2.6 g/cm</w:t>
            </w:r>
            <w:r>
              <w:rPr>
                <w:color w:val="auto"/>
                <w:sz w:val="18"/>
                <w:szCs w:val="18"/>
                <w:vertAlign w:val="superscript"/>
              </w:rPr>
              <w:t>3</w:t>
            </w:r>
          </w:p>
        </w:tc>
        <w:tc>
          <w:tcPr>
            <w:tcW w:w="1923" w:type="dxa"/>
            <w:vAlign w:val="center"/>
          </w:tcPr>
          <w:p>
            <w:pPr>
              <w:tabs>
                <w:tab w:val="left" w:pos="3430"/>
              </w:tabs>
              <w:spacing w:line="320" w:lineRule="exact"/>
              <w:jc w:val="center"/>
              <w:rPr>
                <w:color w:val="auto"/>
                <w:sz w:val="18"/>
                <w:szCs w:val="18"/>
              </w:rPr>
            </w:pPr>
            <w:r>
              <w:rPr>
                <w:color w:val="auto"/>
                <w:sz w:val="18"/>
                <w:szCs w:val="18"/>
              </w:rPr>
              <w:t>按GB/T 208检验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12</w:t>
            </w:r>
          </w:p>
        </w:tc>
        <w:tc>
          <w:tcPr>
            <w:tcW w:w="1234" w:type="dxa"/>
            <w:vAlign w:val="center"/>
          </w:tcPr>
          <w:p>
            <w:pPr>
              <w:tabs>
                <w:tab w:val="left" w:pos="3430"/>
              </w:tabs>
              <w:spacing w:line="320" w:lineRule="exact"/>
              <w:jc w:val="center"/>
              <w:rPr>
                <w:color w:val="auto"/>
                <w:sz w:val="18"/>
                <w:szCs w:val="18"/>
              </w:rPr>
            </w:pPr>
            <w:r>
              <w:rPr>
                <w:color w:val="auto"/>
                <w:sz w:val="18"/>
                <w:szCs w:val="18"/>
              </w:rPr>
              <w:t>活性指数</w:t>
            </w:r>
          </w:p>
        </w:tc>
        <w:tc>
          <w:tcPr>
            <w:tcW w:w="1500" w:type="dxa"/>
            <w:vAlign w:val="center"/>
          </w:tcPr>
          <w:p>
            <w:pPr>
              <w:tabs>
                <w:tab w:val="left" w:pos="3430"/>
              </w:tabs>
              <w:spacing w:line="320" w:lineRule="exact"/>
              <w:jc w:val="center"/>
              <w:rPr>
                <w:color w:val="auto"/>
                <w:sz w:val="18"/>
                <w:szCs w:val="18"/>
              </w:rPr>
            </w:pPr>
            <w:r>
              <w:rPr>
                <w:color w:val="auto"/>
                <w:sz w:val="18"/>
                <w:szCs w:val="18"/>
              </w:rPr>
              <w:t>28 d</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≥70%</w:t>
            </w:r>
          </w:p>
        </w:tc>
        <w:tc>
          <w:tcPr>
            <w:tcW w:w="1923" w:type="dxa"/>
            <w:vAlign w:val="center"/>
          </w:tcPr>
          <w:p>
            <w:pPr>
              <w:tabs>
                <w:tab w:val="left" w:pos="3430"/>
              </w:tabs>
              <w:spacing w:line="320" w:lineRule="exact"/>
              <w:jc w:val="center"/>
              <w:rPr>
                <w:color w:val="auto"/>
                <w:sz w:val="18"/>
                <w:szCs w:val="18"/>
              </w:rPr>
            </w:pPr>
            <w:r>
              <w:rPr>
                <w:color w:val="auto"/>
                <w:sz w:val="18"/>
                <w:szCs w:val="18"/>
              </w:rPr>
              <w:t>按GB1596检验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90" w:type="dxa"/>
            <w:vAlign w:val="center"/>
          </w:tcPr>
          <w:p>
            <w:pPr>
              <w:tabs>
                <w:tab w:val="left" w:pos="3430"/>
              </w:tabs>
              <w:adjustRightInd w:val="0"/>
              <w:snapToGrid w:val="0"/>
              <w:spacing w:line="320" w:lineRule="exact"/>
              <w:jc w:val="center"/>
              <w:rPr>
                <w:color w:val="auto"/>
                <w:sz w:val="18"/>
                <w:szCs w:val="18"/>
              </w:rPr>
            </w:pPr>
            <w:r>
              <w:rPr>
                <w:color w:val="auto"/>
                <w:sz w:val="18"/>
                <w:szCs w:val="18"/>
              </w:rPr>
              <w:t>13</w:t>
            </w:r>
          </w:p>
        </w:tc>
        <w:tc>
          <w:tcPr>
            <w:tcW w:w="2734" w:type="dxa"/>
            <w:gridSpan w:val="2"/>
            <w:vAlign w:val="center"/>
          </w:tcPr>
          <w:p>
            <w:pPr>
              <w:tabs>
                <w:tab w:val="left" w:pos="3430"/>
              </w:tabs>
              <w:spacing w:line="320" w:lineRule="exact"/>
              <w:jc w:val="center"/>
              <w:rPr>
                <w:color w:val="auto"/>
                <w:sz w:val="18"/>
                <w:szCs w:val="18"/>
              </w:rPr>
            </w:pPr>
            <w:r>
              <w:rPr>
                <w:color w:val="auto"/>
                <w:sz w:val="18"/>
                <w:szCs w:val="18"/>
              </w:rPr>
              <w:t>碱含量</w:t>
            </w:r>
          </w:p>
        </w:tc>
        <w:tc>
          <w:tcPr>
            <w:tcW w:w="3166" w:type="dxa"/>
            <w:gridSpan w:val="2"/>
            <w:vAlign w:val="center"/>
          </w:tcPr>
          <w:p>
            <w:pPr>
              <w:tabs>
                <w:tab w:val="left" w:pos="3430"/>
              </w:tabs>
              <w:spacing w:line="320" w:lineRule="exact"/>
              <w:jc w:val="center"/>
              <w:rPr>
                <w:color w:val="auto"/>
                <w:sz w:val="18"/>
                <w:szCs w:val="18"/>
              </w:rPr>
            </w:pPr>
            <w:r>
              <w:rPr>
                <w:color w:val="auto"/>
                <w:sz w:val="18"/>
                <w:szCs w:val="18"/>
              </w:rPr>
              <w:t>*</w:t>
            </w:r>
          </w:p>
        </w:tc>
        <w:tc>
          <w:tcPr>
            <w:tcW w:w="1923" w:type="dxa"/>
            <w:vAlign w:val="center"/>
          </w:tcPr>
          <w:p>
            <w:pPr>
              <w:tabs>
                <w:tab w:val="left" w:pos="3430"/>
              </w:tabs>
              <w:spacing w:line="320" w:lineRule="exact"/>
              <w:jc w:val="center"/>
              <w:rPr>
                <w:color w:val="auto"/>
                <w:sz w:val="18"/>
                <w:szCs w:val="18"/>
              </w:rPr>
            </w:pPr>
            <w:r>
              <w:rPr>
                <w:color w:val="auto"/>
                <w:sz w:val="18"/>
                <w:szCs w:val="18"/>
              </w:rPr>
              <w:t>按GB/T176检验</w:t>
            </w:r>
          </w:p>
        </w:tc>
      </w:tr>
    </w:tbl>
    <w:p>
      <w:pPr>
        <w:adjustRightInd w:val="0"/>
        <w:snapToGrid w:val="0"/>
        <w:ind w:left="1110" w:leftChars="200" w:hanging="630" w:hangingChars="300"/>
        <w:rPr>
          <w:color w:val="auto"/>
          <w:sz w:val="21"/>
          <w:szCs w:val="21"/>
        </w:rPr>
      </w:pPr>
      <w:r>
        <w:rPr>
          <w:color w:val="auto"/>
          <w:sz w:val="21"/>
          <w:szCs w:val="21"/>
        </w:rPr>
        <w:t>注：</w:t>
      </w:r>
      <w:r>
        <w:rPr>
          <w:b/>
          <w:color w:val="auto"/>
          <w:sz w:val="21"/>
          <w:szCs w:val="21"/>
        </w:rPr>
        <w:t>1</w:t>
      </w:r>
      <w:r>
        <w:rPr>
          <w:color w:val="auto"/>
          <w:sz w:val="21"/>
          <w:szCs w:val="21"/>
        </w:rPr>
        <w:t>当混凝土结构所处的环境为严重冻融破坏环境时，宜采用烧失量不大于3.0%的粉煤灰。</w:t>
      </w:r>
    </w:p>
    <w:p>
      <w:pPr>
        <w:adjustRightInd w:val="0"/>
        <w:snapToGrid w:val="0"/>
        <w:ind w:left="1044" w:leftChars="350" w:hanging="204" w:hangingChars="97"/>
        <w:rPr>
          <w:color w:val="auto"/>
          <w:sz w:val="21"/>
          <w:szCs w:val="21"/>
        </w:rPr>
      </w:pPr>
      <w:r>
        <w:rPr>
          <w:b/>
          <w:color w:val="auto"/>
          <w:sz w:val="21"/>
          <w:szCs w:val="21"/>
        </w:rPr>
        <w:t>2</w:t>
      </w:r>
      <w:r>
        <w:rPr>
          <w:color w:val="auto"/>
          <w:sz w:val="21"/>
          <w:szCs w:val="21"/>
        </w:rPr>
        <w:t>当采用干法或半干法脱硫工艺排出的粉煤灰时，应检测半水亚硫酸钙（CaSO</w:t>
      </w:r>
      <w:r>
        <w:rPr>
          <w:color w:val="auto"/>
          <w:sz w:val="21"/>
          <w:szCs w:val="21"/>
          <w:vertAlign w:val="subscript"/>
        </w:rPr>
        <w:t>3</w:t>
      </w:r>
      <w:r>
        <w:rPr>
          <w:color w:val="auto"/>
          <w:sz w:val="21"/>
          <w:szCs w:val="21"/>
        </w:rPr>
        <w:t>·1/2H</w:t>
      </w:r>
      <w:r>
        <w:rPr>
          <w:color w:val="auto"/>
          <w:sz w:val="21"/>
          <w:szCs w:val="21"/>
          <w:vertAlign w:val="subscript"/>
        </w:rPr>
        <w:t>2</w:t>
      </w:r>
      <w:r>
        <w:rPr>
          <w:color w:val="auto"/>
          <w:sz w:val="21"/>
          <w:szCs w:val="21"/>
        </w:rPr>
        <w:t>O）含量。</w:t>
      </w:r>
    </w:p>
    <w:p>
      <w:pPr>
        <w:adjustRightInd w:val="0"/>
        <w:snapToGrid w:val="0"/>
        <w:ind w:left="1051" w:leftChars="350" w:hanging="211" w:hangingChars="100"/>
        <w:rPr>
          <w:color w:val="auto"/>
          <w:sz w:val="21"/>
          <w:szCs w:val="21"/>
        </w:rPr>
      </w:pPr>
      <w:r>
        <w:rPr>
          <w:b/>
          <w:color w:val="auto"/>
          <w:sz w:val="21"/>
          <w:szCs w:val="21"/>
        </w:rPr>
        <w:t>3</w:t>
      </w:r>
      <w:r>
        <w:rPr>
          <w:color w:val="auto"/>
          <w:sz w:val="21"/>
          <w:szCs w:val="21"/>
        </w:rPr>
        <w:t>“*”碱含量值用于计算混凝土的总碱含量。</w:t>
      </w:r>
    </w:p>
    <w:p>
      <w:pPr>
        <w:adjustRightInd w:val="0"/>
        <w:snapToGrid w:val="0"/>
        <w:spacing w:line="400" w:lineRule="exact"/>
        <w:jc w:val="center"/>
        <w:rPr>
          <w:rFonts w:eastAsia="黑体"/>
          <w:bCs/>
          <w:color w:val="auto"/>
          <w:sz w:val="21"/>
          <w:szCs w:val="21"/>
        </w:rPr>
      </w:pPr>
      <w:r>
        <w:rPr>
          <w:rFonts w:eastAsia="黑体"/>
          <w:bCs/>
          <w:color w:val="auto"/>
          <w:sz w:val="21"/>
          <w:szCs w:val="21"/>
        </w:rPr>
        <w:t>表4.1.2-2  磨细矿渣粉的性能</w:t>
      </w:r>
    </w:p>
    <w:tbl>
      <w:tblPr>
        <w:tblStyle w:val="44"/>
        <w:tblW w:w="875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79"/>
        <w:gridCol w:w="654"/>
        <w:gridCol w:w="946"/>
        <w:gridCol w:w="1634"/>
        <w:gridCol w:w="1417"/>
        <w:gridCol w:w="1332"/>
        <w:gridCol w:w="189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Merge w:val="restart"/>
            <w:vAlign w:val="center"/>
          </w:tcPr>
          <w:p>
            <w:pPr>
              <w:tabs>
                <w:tab w:val="left" w:pos="3430"/>
              </w:tabs>
              <w:adjustRightInd w:val="0"/>
              <w:snapToGrid w:val="0"/>
              <w:spacing w:line="320" w:lineRule="exact"/>
              <w:jc w:val="center"/>
              <w:rPr>
                <w:color w:val="auto"/>
                <w:sz w:val="18"/>
                <w:szCs w:val="18"/>
              </w:rPr>
            </w:pPr>
            <w:r>
              <w:rPr>
                <w:color w:val="auto"/>
                <w:sz w:val="18"/>
                <w:szCs w:val="18"/>
              </w:rPr>
              <w:t>序号</w:t>
            </w:r>
          </w:p>
        </w:tc>
        <w:tc>
          <w:tcPr>
            <w:tcW w:w="1600" w:type="dxa"/>
            <w:gridSpan w:val="2"/>
            <w:vMerge w:val="restart"/>
            <w:vAlign w:val="center"/>
          </w:tcPr>
          <w:p>
            <w:pPr>
              <w:tabs>
                <w:tab w:val="left" w:pos="3430"/>
              </w:tabs>
              <w:adjustRightInd w:val="0"/>
              <w:snapToGrid w:val="0"/>
              <w:spacing w:line="320" w:lineRule="exact"/>
              <w:jc w:val="center"/>
              <w:rPr>
                <w:color w:val="auto"/>
                <w:sz w:val="18"/>
                <w:szCs w:val="18"/>
              </w:rPr>
            </w:pPr>
            <w:r>
              <w:rPr>
                <w:color w:val="auto"/>
                <w:sz w:val="18"/>
                <w:szCs w:val="18"/>
              </w:rPr>
              <w:t>检验项目</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技术要求</w:t>
            </w:r>
          </w:p>
        </w:tc>
        <w:tc>
          <w:tcPr>
            <w:tcW w:w="1894"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Merge w:val="continue"/>
            <w:vAlign w:val="center"/>
          </w:tcPr>
          <w:p>
            <w:pPr>
              <w:tabs>
                <w:tab w:val="left" w:pos="3430"/>
              </w:tabs>
              <w:adjustRightInd w:val="0"/>
              <w:snapToGrid w:val="0"/>
              <w:spacing w:line="320" w:lineRule="exact"/>
              <w:jc w:val="center"/>
              <w:rPr>
                <w:color w:val="auto"/>
                <w:sz w:val="18"/>
                <w:szCs w:val="18"/>
              </w:rPr>
            </w:pPr>
          </w:p>
        </w:tc>
        <w:tc>
          <w:tcPr>
            <w:tcW w:w="1600" w:type="dxa"/>
            <w:gridSpan w:val="2"/>
            <w:vMerge w:val="continue"/>
            <w:vAlign w:val="center"/>
          </w:tcPr>
          <w:p>
            <w:pPr>
              <w:tabs>
                <w:tab w:val="left" w:pos="3430"/>
              </w:tabs>
              <w:adjustRightInd w:val="0"/>
              <w:snapToGrid w:val="0"/>
              <w:spacing w:line="320" w:lineRule="exact"/>
              <w:jc w:val="center"/>
              <w:rPr>
                <w:color w:val="auto"/>
                <w:sz w:val="18"/>
                <w:szCs w:val="18"/>
              </w:rPr>
            </w:pPr>
          </w:p>
        </w:tc>
        <w:tc>
          <w:tcPr>
            <w:tcW w:w="1634" w:type="dxa"/>
            <w:vAlign w:val="center"/>
          </w:tcPr>
          <w:p>
            <w:pPr>
              <w:tabs>
                <w:tab w:val="left" w:pos="3430"/>
              </w:tabs>
              <w:adjustRightInd w:val="0"/>
              <w:snapToGrid w:val="0"/>
              <w:spacing w:line="240" w:lineRule="exact"/>
              <w:jc w:val="center"/>
              <w:rPr>
                <w:color w:val="auto"/>
                <w:sz w:val="18"/>
                <w:szCs w:val="18"/>
              </w:rPr>
            </w:pPr>
            <w:r>
              <w:rPr>
                <w:color w:val="auto"/>
                <w:sz w:val="18"/>
                <w:szCs w:val="18"/>
              </w:rPr>
              <w:t>S75</w:t>
            </w:r>
          </w:p>
        </w:tc>
        <w:tc>
          <w:tcPr>
            <w:tcW w:w="1417" w:type="dxa"/>
            <w:vAlign w:val="center"/>
          </w:tcPr>
          <w:p>
            <w:pPr>
              <w:tabs>
                <w:tab w:val="left" w:pos="3430"/>
              </w:tabs>
              <w:adjustRightInd w:val="0"/>
              <w:snapToGrid w:val="0"/>
              <w:spacing w:line="240" w:lineRule="exact"/>
              <w:jc w:val="center"/>
              <w:rPr>
                <w:color w:val="auto"/>
                <w:sz w:val="18"/>
                <w:szCs w:val="18"/>
              </w:rPr>
            </w:pPr>
            <w:r>
              <w:rPr>
                <w:color w:val="auto"/>
                <w:sz w:val="18"/>
                <w:szCs w:val="18"/>
              </w:rPr>
              <w:t>S95</w:t>
            </w:r>
          </w:p>
        </w:tc>
        <w:tc>
          <w:tcPr>
            <w:tcW w:w="1332" w:type="dxa"/>
            <w:vAlign w:val="center"/>
          </w:tcPr>
          <w:p>
            <w:pPr>
              <w:tabs>
                <w:tab w:val="left" w:pos="3430"/>
              </w:tabs>
              <w:adjustRightInd w:val="0"/>
              <w:snapToGrid w:val="0"/>
              <w:spacing w:line="240" w:lineRule="exact"/>
              <w:jc w:val="center"/>
              <w:rPr>
                <w:color w:val="auto"/>
                <w:sz w:val="18"/>
                <w:szCs w:val="18"/>
              </w:rPr>
            </w:pPr>
            <w:r>
              <w:rPr>
                <w:color w:val="auto"/>
                <w:sz w:val="18"/>
                <w:szCs w:val="18"/>
              </w:rPr>
              <w:t>S105</w:t>
            </w:r>
          </w:p>
        </w:tc>
        <w:tc>
          <w:tcPr>
            <w:tcW w:w="1894" w:type="dxa"/>
            <w:vMerge w:val="continue"/>
            <w:vAlign w:val="center"/>
          </w:tcPr>
          <w:p>
            <w:pPr>
              <w:tabs>
                <w:tab w:val="left" w:pos="3430"/>
              </w:tabs>
              <w:adjustRightInd w:val="0"/>
              <w:snapToGrid w:val="0"/>
              <w:spacing w:line="240" w:lineRule="exact"/>
              <w:jc w:val="center"/>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1</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密度</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≥2.8 g/cm</w:t>
            </w:r>
            <w:r>
              <w:rPr>
                <w:color w:val="auto"/>
                <w:sz w:val="18"/>
                <w:szCs w:val="18"/>
                <w:vertAlign w:val="superscript"/>
              </w:rPr>
              <w:t>3</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按GB/T208检验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2</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比表面积</w:t>
            </w:r>
          </w:p>
        </w:tc>
        <w:tc>
          <w:tcPr>
            <w:tcW w:w="1634" w:type="dxa"/>
            <w:vAlign w:val="center"/>
          </w:tcPr>
          <w:p>
            <w:pPr>
              <w:tabs>
                <w:tab w:val="left" w:pos="3430"/>
              </w:tabs>
              <w:adjustRightInd w:val="0"/>
              <w:snapToGrid w:val="0"/>
              <w:spacing w:line="240" w:lineRule="exact"/>
              <w:jc w:val="center"/>
              <w:rPr>
                <w:color w:val="auto"/>
                <w:sz w:val="18"/>
                <w:szCs w:val="18"/>
              </w:rPr>
            </w:pPr>
            <w:r>
              <w:rPr>
                <w:color w:val="auto"/>
                <w:sz w:val="18"/>
                <w:szCs w:val="18"/>
              </w:rPr>
              <w:t>≥300 m</w:t>
            </w:r>
            <w:r>
              <w:rPr>
                <w:color w:val="auto"/>
                <w:sz w:val="18"/>
                <w:szCs w:val="18"/>
                <w:vertAlign w:val="superscript"/>
              </w:rPr>
              <w:t>2</w:t>
            </w:r>
            <w:r>
              <w:rPr>
                <w:color w:val="auto"/>
                <w:sz w:val="18"/>
                <w:szCs w:val="18"/>
              </w:rPr>
              <w:t>/kg</w:t>
            </w:r>
          </w:p>
        </w:tc>
        <w:tc>
          <w:tcPr>
            <w:tcW w:w="1417" w:type="dxa"/>
            <w:vAlign w:val="center"/>
          </w:tcPr>
          <w:p>
            <w:pPr>
              <w:tabs>
                <w:tab w:val="left" w:pos="3430"/>
              </w:tabs>
              <w:adjustRightInd w:val="0"/>
              <w:snapToGrid w:val="0"/>
              <w:spacing w:line="240" w:lineRule="exact"/>
              <w:jc w:val="center"/>
              <w:rPr>
                <w:color w:val="auto"/>
                <w:sz w:val="18"/>
                <w:szCs w:val="18"/>
              </w:rPr>
            </w:pPr>
            <w:r>
              <w:rPr>
                <w:color w:val="auto"/>
                <w:sz w:val="18"/>
                <w:szCs w:val="18"/>
              </w:rPr>
              <w:t>≥400 m</w:t>
            </w:r>
            <w:r>
              <w:rPr>
                <w:color w:val="auto"/>
                <w:sz w:val="18"/>
                <w:szCs w:val="18"/>
                <w:vertAlign w:val="superscript"/>
              </w:rPr>
              <w:t>2</w:t>
            </w:r>
            <w:r>
              <w:rPr>
                <w:color w:val="auto"/>
                <w:sz w:val="18"/>
                <w:szCs w:val="18"/>
              </w:rPr>
              <w:t>/kg</w:t>
            </w:r>
          </w:p>
        </w:tc>
        <w:tc>
          <w:tcPr>
            <w:tcW w:w="1332" w:type="dxa"/>
            <w:vAlign w:val="center"/>
          </w:tcPr>
          <w:p>
            <w:pPr>
              <w:tabs>
                <w:tab w:val="left" w:pos="3430"/>
              </w:tabs>
              <w:adjustRightInd w:val="0"/>
              <w:snapToGrid w:val="0"/>
              <w:spacing w:line="240" w:lineRule="exact"/>
              <w:jc w:val="center"/>
              <w:rPr>
                <w:color w:val="auto"/>
                <w:sz w:val="18"/>
                <w:szCs w:val="18"/>
              </w:rPr>
            </w:pPr>
            <w:r>
              <w:rPr>
                <w:color w:val="auto"/>
                <w:sz w:val="18"/>
                <w:szCs w:val="18"/>
              </w:rPr>
              <w:t>≥500 m</w:t>
            </w:r>
            <w:r>
              <w:rPr>
                <w:color w:val="auto"/>
                <w:sz w:val="18"/>
                <w:szCs w:val="18"/>
                <w:vertAlign w:val="superscript"/>
              </w:rPr>
              <w:t>2</w:t>
            </w:r>
            <w:r>
              <w:rPr>
                <w:color w:val="auto"/>
                <w:sz w:val="18"/>
                <w:szCs w:val="18"/>
              </w:rPr>
              <w:t>/kg</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按GB/T8074检验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3</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流动度比</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≥95%</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按GB/T18046检验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4</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烧失量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≤1.0%</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按GB/T18046检验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5</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氧化镁含量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≤14.0%</w:t>
            </w:r>
          </w:p>
        </w:tc>
        <w:tc>
          <w:tcPr>
            <w:tcW w:w="1894" w:type="dxa"/>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6</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三氧化硫含量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≤4.0%</w:t>
            </w:r>
          </w:p>
        </w:tc>
        <w:tc>
          <w:tcPr>
            <w:tcW w:w="1894" w:type="dxa"/>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7</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氯离子含量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≤0.06%</w:t>
            </w:r>
          </w:p>
        </w:tc>
        <w:tc>
          <w:tcPr>
            <w:tcW w:w="1894" w:type="dxa"/>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8</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含水量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≤1.0%</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按GB/T18046检验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9</w:t>
            </w:r>
          </w:p>
        </w:tc>
        <w:tc>
          <w:tcPr>
            <w:tcW w:w="654" w:type="dxa"/>
            <w:vMerge w:val="restart"/>
            <w:vAlign w:val="center"/>
          </w:tcPr>
          <w:p>
            <w:pPr>
              <w:tabs>
                <w:tab w:val="left" w:pos="3430"/>
              </w:tabs>
              <w:adjustRightInd w:val="0"/>
              <w:snapToGrid w:val="0"/>
              <w:spacing w:line="240" w:lineRule="exact"/>
              <w:jc w:val="center"/>
              <w:rPr>
                <w:color w:val="auto"/>
                <w:sz w:val="18"/>
                <w:szCs w:val="18"/>
              </w:rPr>
            </w:pPr>
            <w:r>
              <w:rPr>
                <w:color w:val="auto"/>
                <w:sz w:val="18"/>
                <w:szCs w:val="18"/>
              </w:rPr>
              <w:t>活性指数</w:t>
            </w:r>
          </w:p>
        </w:tc>
        <w:tc>
          <w:tcPr>
            <w:tcW w:w="946" w:type="dxa"/>
            <w:vAlign w:val="center"/>
          </w:tcPr>
          <w:p>
            <w:pPr>
              <w:tabs>
                <w:tab w:val="left" w:pos="3430"/>
              </w:tabs>
              <w:adjustRightInd w:val="0"/>
              <w:snapToGrid w:val="0"/>
              <w:spacing w:line="240" w:lineRule="exact"/>
              <w:jc w:val="center"/>
              <w:rPr>
                <w:color w:val="auto"/>
                <w:sz w:val="18"/>
                <w:szCs w:val="18"/>
              </w:rPr>
            </w:pPr>
            <w:r>
              <w:rPr>
                <w:color w:val="auto"/>
                <w:sz w:val="18"/>
                <w:szCs w:val="18"/>
              </w:rPr>
              <w:t>7 d</w:t>
            </w:r>
          </w:p>
        </w:tc>
        <w:tc>
          <w:tcPr>
            <w:tcW w:w="1634" w:type="dxa"/>
            <w:vAlign w:val="center"/>
          </w:tcPr>
          <w:p>
            <w:pPr>
              <w:tabs>
                <w:tab w:val="left" w:pos="3430"/>
              </w:tabs>
              <w:adjustRightInd w:val="0"/>
              <w:snapToGrid w:val="0"/>
              <w:spacing w:line="240" w:lineRule="exact"/>
              <w:jc w:val="center"/>
              <w:rPr>
                <w:color w:val="auto"/>
                <w:sz w:val="18"/>
                <w:szCs w:val="18"/>
              </w:rPr>
            </w:pPr>
            <w:r>
              <w:rPr>
                <w:color w:val="auto"/>
                <w:sz w:val="18"/>
                <w:szCs w:val="18"/>
              </w:rPr>
              <w:t>≥55%</w:t>
            </w:r>
          </w:p>
        </w:tc>
        <w:tc>
          <w:tcPr>
            <w:tcW w:w="1417" w:type="dxa"/>
            <w:vAlign w:val="center"/>
          </w:tcPr>
          <w:p>
            <w:pPr>
              <w:tabs>
                <w:tab w:val="left" w:pos="3430"/>
              </w:tabs>
              <w:adjustRightInd w:val="0"/>
              <w:snapToGrid w:val="0"/>
              <w:spacing w:line="240" w:lineRule="exact"/>
              <w:jc w:val="center"/>
              <w:rPr>
                <w:color w:val="auto"/>
                <w:sz w:val="18"/>
                <w:szCs w:val="18"/>
              </w:rPr>
            </w:pPr>
            <w:r>
              <w:rPr>
                <w:color w:val="auto"/>
                <w:sz w:val="18"/>
                <w:szCs w:val="18"/>
              </w:rPr>
              <w:t>≥70%</w:t>
            </w:r>
          </w:p>
        </w:tc>
        <w:tc>
          <w:tcPr>
            <w:tcW w:w="1332" w:type="dxa"/>
            <w:vAlign w:val="center"/>
          </w:tcPr>
          <w:p>
            <w:pPr>
              <w:tabs>
                <w:tab w:val="left" w:pos="3430"/>
              </w:tabs>
              <w:adjustRightInd w:val="0"/>
              <w:snapToGrid w:val="0"/>
              <w:spacing w:line="240" w:lineRule="exact"/>
              <w:jc w:val="center"/>
              <w:rPr>
                <w:color w:val="auto"/>
                <w:sz w:val="18"/>
                <w:szCs w:val="18"/>
              </w:rPr>
            </w:pPr>
            <w:r>
              <w:rPr>
                <w:color w:val="auto"/>
                <w:sz w:val="18"/>
                <w:szCs w:val="18"/>
              </w:rPr>
              <w:t>≥95%</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按GB/T18046检验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Merge w:val="continue"/>
            <w:vAlign w:val="center"/>
          </w:tcPr>
          <w:p>
            <w:pPr>
              <w:tabs>
                <w:tab w:val="left" w:pos="3430"/>
              </w:tabs>
              <w:adjustRightInd w:val="0"/>
              <w:snapToGrid w:val="0"/>
              <w:spacing w:line="240" w:lineRule="exact"/>
              <w:rPr>
                <w:color w:val="auto"/>
                <w:sz w:val="18"/>
                <w:szCs w:val="18"/>
              </w:rPr>
            </w:pPr>
          </w:p>
        </w:tc>
        <w:tc>
          <w:tcPr>
            <w:tcW w:w="654" w:type="dxa"/>
            <w:vMerge w:val="continue"/>
            <w:vAlign w:val="center"/>
          </w:tcPr>
          <w:p>
            <w:pPr>
              <w:tabs>
                <w:tab w:val="left" w:pos="3430"/>
              </w:tabs>
              <w:adjustRightInd w:val="0"/>
              <w:snapToGrid w:val="0"/>
              <w:spacing w:line="240" w:lineRule="exact"/>
              <w:jc w:val="center"/>
              <w:rPr>
                <w:color w:val="auto"/>
                <w:sz w:val="18"/>
                <w:szCs w:val="18"/>
              </w:rPr>
            </w:pPr>
          </w:p>
        </w:tc>
        <w:tc>
          <w:tcPr>
            <w:tcW w:w="946" w:type="dxa"/>
            <w:vAlign w:val="center"/>
          </w:tcPr>
          <w:p>
            <w:pPr>
              <w:tabs>
                <w:tab w:val="left" w:pos="3430"/>
              </w:tabs>
              <w:adjustRightInd w:val="0"/>
              <w:snapToGrid w:val="0"/>
              <w:spacing w:line="240" w:lineRule="exact"/>
              <w:jc w:val="center"/>
              <w:rPr>
                <w:color w:val="auto"/>
                <w:sz w:val="18"/>
                <w:szCs w:val="18"/>
              </w:rPr>
            </w:pPr>
            <w:r>
              <w:rPr>
                <w:color w:val="auto"/>
                <w:sz w:val="18"/>
                <w:szCs w:val="18"/>
              </w:rPr>
              <w:t>28 d</w:t>
            </w:r>
          </w:p>
        </w:tc>
        <w:tc>
          <w:tcPr>
            <w:tcW w:w="1634" w:type="dxa"/>
            <w:vAlign w:val="center"/>
          </w:tcPr>
          <w:p>
            <w:pPr>
              <w:tabs>
                <w:tab w:val="left" w:pos="3430"/>
              </w:tabs>
              <w:adjustRightInd w:val="0"/>
              <w:snapToGrid w:val="0"/>
              <w:spacing w:line="240" w:lineRule="exact"/>
              <w:jc w:val="center"/>
              <w:rPr>
                <w:color w:val="auto"/>
                <w:sz w:val="18"/>
                <w:szCs w:val="18"/>
              </w:rPr>
            </w:pPr>
            <w:r>
              <w:rPr>
                <w:color w:val="auto"/>
                <w:sz w:val="18"/>
                <w:szCs w:val="18"/>
              </w:rPr>
              <w:t>≥75%</w:t>
            </w:r>
          </w:p>
        </w:tc>
        <w:tc>
          <w:tcPr>
            <w:tcW w:w="1417" w:type="dxa"/>
            <w:vAlign w:val="center"/>
          </w:tcPr>
          <w:p>
            <w:pPr>
              <w:tabs>
                <w:tab w:val="left" w:pos="3430"/>
              </w:tabs>
              <w:adjustRightInd w:val="0"/>
              <w:snapToGrid w:val="0"/>
              <w:spacing w:line="240" w:lineRule="exact"/>
              <w:jc w:val="center"/>
              <w:rPr>
                <w:color w:val="auto"/>
                <w:sz w:val="18"/>
                <w:szCs w:val="18"/>
              </w:rPr>
            </w:pPr>
            <w:r>
              <w:rPr>
                <w:color w:val="auto"/>
                <w:sz w:val="18"/>
                <w:szCs w:val="18"/>
              </w:rPr>
              <w:t>≥95%</w:t>
            </w:r>
          </w:p>
        </w:tc>
        <w:tc>
          <w:tcPr>
            <w:tcW w:w="1332" w:type="dxa"/>
            <w:vAlign w:val="center"/>
          </w:tcPr>
          <w:p>
            <w:pPr>
              <w:tabs>
                <w:tab w:val="left" w:pos="3430"/>
              </w:tabs>
              <w:adjustRightInd w:val="0"/>
              <w:snapToGrid w:val="0"/>
              <w:spacing w:line="240" w:lineRule="exact"/>
              <w:jc w:val="center"/>
              <w:rPr>
                <w:color w:val="auto"/>
                <w:sz w:val="18"/>
                <w:szCs w:val="18"/>
              </w:rPr>
            </w:pPr>
            <w:r>
              <w:rPr>
                <w:color w:val="auto"/>
                <w:sz w:val="18"/>
                <w:szCs w:val="18"/>
              </w:rPr>
              <w:t>≥105%</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按GB/T18046检验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9" w:type="dxa"/>
            <w:vAlign w:val="center"/>
          </w:tcPr>
          <w:p>
            <w:pPr>
              <w:tabs>
                <w:tab w:val="left" w:pos="3430"/>
              </w:tabs>
              <w:adjustRightInd w:val="0"/>
              <w:snapToGrid w:val="0"/>
              <w:spacing w:line="240" w:lineRule="exact"/>
              <w:jc w:val="center"/>
              <w:rPr>
                <w:color w:val="auto"/>
                <w:sz w:val="18"/>
                <w:szCs w:val="18"/>
              </w:rPr>
            </w:pPr>
            <w:r>
              <w:rPr>
                <w:color w:val="auto"/>
                <w:sz w:val="18"/>
                <w:szCs w:val="18"/>
              </w:rPr>
              <w:t>10</w:t>
            </w:r>
          </w:p>
        </w:tc>
        <w:tc>
          <w:tcPr>
            <w:tcW w:w="1600" w:type="dxa"/>
            <w:gridSpan w:val="2"/>
            <w:vAlign w:val="center"/>
          </w:tcPr>
          <w:p>
            <w:pPr>
              <w:tabs>
                <w:tab w:val="left" w:pos="3430"/>
              </w:tabs>
              <w:adjustRightInd w:val="0"/>
              <w:snapToGrid w:val="0"/>
              <w:spacing w:line="240" w:lineRule="exact"/>
              <w:jc w:val="center"/>
              <w:rPr>
                <w:color w:val="auto"/>
                <w:sz w:val="18"/>
                <w:szCs w:val="18"/>
              </w:rPr>
            </w:pPr>
            <w:r>
              <w:rPr>
                <w:color w:val="auto"/>
                <w:sz w:val="18"/>
                <w:szCs w:val="18"/>
              </w:rPr>
              <w:t>碱含量</w:t>
            </w:r>
          </w:p>
        </w:tc>
        <w:tc>
          <w:tcPr>
            <w:tcW w:w="4383" w:type="dxa"/>
            <w:gridSpan w:val="3"/>
            <w:vAlign w:val="center"/>
          </w:tcPr>
          <w:p>
            <w:pPr>
              <w:tabs>
                <w:tab w:val="left" w:pos="3430"/>
              </w:tabs>
              <w:adjustRightInd w:val="0"/>
              <w:snapToGrid w:val="0"/>
              <w:spacing w:line="240" w:lineRule="exact"/>
              <w:jc w:val="center"/>
              <w:rPr>
                <w:color w:val="auto"/>
                <w:sz w:val="18"/>
                <w:szCs w:val="18"/>
              </w:rPr>
            </w:pPr>
            <w:r>
              <w:rPr>
                <w:color w:val="auto"/>
                <w:sz w:val="18"/>
                <w:szCs w:val="18"/>
              </w:rPr>
              <w:t>*</w:t>
            </w:r>
          </w:p>
        </w:tc>
        <w:tc>
          <w:tcPr>
            <w:tcW w:w="1894" w:type="dxa"/>
            <w:vAlign w:val="center"/>
          </w:tcPr>
          <w:p>
            <w:pPr>
              <w:tabs>
                <w:tab w:val="left" w:pos="3430"/>
              </w:tabs>
              <w:adjustRightInd w:val="0"/>
              <w:snapToGrid w:val="0"/>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8756" w:type="dxa"/>
            <w:gridSpan w:val="7"/>
            <w:tcBorders>
              <w:bottom w:val="single" w:color="auto" w:sz="4" w:space="0"/>
            </w:tcBorders>
            <w:vAlign w:val="center"/>
          </w:tcPr>
          <w:p>
            <w:pPr>
              <w:tabs>
                <w:tab w:val="left" w:pos="3430"/>
              </w:tabs>
              <w:spacing w:line="320" w:lineRule="exact"/>
              <w:ind w:firstLine="270" w:firstLineChars="150"/>
              <w:rPr>
                <w:color w:val="auto"/>
                <w:sz w:val="18"/>
                <w:szCs w:val="18"/>
                <w:vertAlign w:val="superscript"/>
              </w:rPr>
            </w:pPr>
          </w:p>
        </w:tc>
      </w:tr>
    </w:tbl>
    <w:p>
      <w:pPr>
        <w:adjustRightInd w:val="0"/>
        <w:snapToGrid w:val="0"/>
        <w:ind w:firstLine="630" w:firstLineChars="300"/>
        <w:jc w:val="left"/>
        <w:rPr>
          <w:color w:val="auto"/>
          <w:sz w:val="21"/>
          <w:szCs w:val="21"/>
        </w:rPr>
      </w:pPr>
      <w:r>
        <w:rPr>
          <w:color w:val="auto"/>
          <w:sz w:val="21"/>
          <w:szCs w:val="21"/>
        </w:rPr>
        <w:t>注：“*”碱含量值用于计算混凝土中总碱含量。</w:t>
      </w:r>
    </w:p>
    <w:p>
      <w:pPr>
        <w:adjustRightInd w:val="0"/>
        <w:snapToGrid w:val="0"/>
        <w:spacing w:line="400" w:lineRule="exact"/>
        <w:jc w:val="center"/>
        <w:rPr>
          <w:rFonts w:eastAsia="黑体"/>
          <w:bCs/>
          <w:color w:val="auto"/>
          <w:sz w:val="21"/>
          <w:szCs w:val="21"/>
        </w:rPr>
      </w:pPr>
      <w:r>
        <w:rPr>
          <w:rFonts w:eastAsia="黑体"/>
          <w:bCs/>
          <w:color w:val="auto"/>
          <w:sz w:val="21"/>
          <w:szCs w:val="21"/>
        </w:rPr>
        <w:t>表4.1.2-3  硅灰的性能</w:t>
      </w:r>
    </w:p>
    <w:tbl>
      <w:tblPr>
        <w:tblStyle w:val="44"/>
        <w:tblW w:w="894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35"/>
        <w:gridCol w:w="2171"/>
        <w:gridCol w:w="3240"/>
        <w:gridCol w:w="26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vMerge w:val="restart"/>
            <w:tcBorders>
              <w:top w:val="single" w:color="auto" w:sz="8"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序号</w:t>
            </w:r>
          </w:p>
        </w:tc>
        <w:tc>
          <w:tcPr>
            <w:tcW w:w="2171" w:type="dxa"/>
            <w:vMerge w:val="restart"/>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ind w:firstLine="360"/>
              <w:jc w:val="center"/>
              <w:rPr>
                <w:color w:val="auto"/>
                <w:sz w:val="18"/>
                <w:szCs w:val="18"/>
              </w:rPr>
            </w:pPr>
            <w:r>
              <w:rPr>
                <w:color w:val="auto"/>
                <w:sz w:val="18"/>
                <w:szCs w:val="18"/>
              </w:rPr>
              <w:t>检验项目</w:t>
            </w:r>
          </w:p>
        </w:tc>
        <w:tc>
          <w:tcPr>
            <w:tcW w:w="3240" w:type="dxa"/>
            <w:vMerge w:val="restart"/>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技术要求</w:t>
            </w:r>
          </w:p>
        </w:tc>
        <w:tc>
          <w:tcPr>
            <w:tcW w:w="2698" w:type="dxa"/>
            <w:vMerge w:val="restart"/>
            <w:tcBorders>
              <w:top w:val="single" w:color="auto" w:sz="8"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jc w:val="center"/>
        </w:trPr>
        <w:tc>
          <w:tcPr>
            <w:tcW w:w="835"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rPr>
                <w:color w:val="auto"/>
                <w:sz w:val="18"/>
                <w:szCs w:val="18"/>
              </w:rPr>
            </w:pPr>
          </w:p>
        </w:tc>
        <w:tc>
          <w:tcPr>
            <w:tcW w:w="2171"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p>
        </w:tc>
        <w:tc>
          <w:tcPr>
            <w:tcW w:w="3240"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rPr>
                <w:color w:val="auto"/>
                <w:sz w:val="18"/>
                <w:szCs w:val="18"/>
              </w:rPr>
            </w:pPr>
          </w:p>
        </w:tc>
        <w:tc>
          <w:tcPr>
            <w:tcW w:w="2698" w:type="dxa"/>
            <w:vMerge w:val="continue"/>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rPr>
                <w:color w:val="auto"/>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1</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烧失量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≤4.0%</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2</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比表面积</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≥18000 m</w:t>
            </w:r>
            <w:r>
              <w:rPr>
                <w:color w:val="auto"/>
                <w:sz w:val="18"/>
                <w:szCs w:val="18"/>
                <w:vertAlign w:val="superscript"/>
              </w:rPr>
              <w:t>2</w:t>
            </w:r>
            <w:r>
              <w:rPr>
                <w:color w:val="auto"/>
                <w:sz w:val="18"/>
                <w:szCs w:val="18"/>
              </w:rPr>
              <w:t>/kg</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按GB/T18736检验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3</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需水量比</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≤125%</w:t>
            </w:r>
          </w:p>
        </w:tc>
        <w:tc>
          <w:tcPr>
            <w:tcW w:w="2698" w:type="dxa"/>
            <w:tcBorders>
              <w:top w:val="single" w:color="auto" w:sz="4" w:space="0"/>
              <w:left w:val="single" w:color="auto" w:sz="4" w:space="0"/>
              <w:bottom w:val="single" w:color="auto" w:sz="4" w:space="0"/>
              <w:right w:val="single" w:color="auto" w:sz="8" w:space="0"/>
            </w:tcBorders>
            <w:vAlign w:val="center"/>
          </w:tcPr>
          <w:p>
            <w:pPr>
              <w:keepNext/>
              <w:tabs>
                <w:tab w:val="left" w:pos="3430"/>
              </w:tabs>
              <w:spacing w:line="240" w:lineRule="exact"/>
              <w:jc w:val="center"/>
              <w:rPr>
                <w:color w:val="auto"/>
                <w:sz w:val="18"/>
                <w:szCs w:val="18"/>
              </w:rPr>
            </w:pPr>
            <w:r>
              <w:rPr>
                <w:color w:val="auto"/>
                <w:sz w:val="18"/>
                <w:szCs w:val="18"/>
              </w:rPr>
              <w:t>按GB/T18736检验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4</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snapToGrid w:val="0"/>
              <w:spacing w:line="240" w:lineRule="exact"/>
              <w:jc w:val="center"/>
              <w:rPr>
                <w:color w:val="auto"/>
                <w:sz w:val="18"/>
                <w:szCs w:val="18"/>
              </w:rPr>
            </w:pPr>
            <w:r>
              <w:rPr>
                <w:color w:val="auto"/>
                <w:sz w:val="18"/>
                <w:szCs w:val="18"/>
              </w:rPr>
              <w:t>28d活性指数</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≥85%</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按GB/T18736检验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5</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氯离子含量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≤0.02%</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6</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二氧化硅含量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≥85%</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7</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含水量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≤3.0%</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按GB1596检验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8</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碱含量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≤1.5%</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835"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9</w:t>
            </w:r>
          </w:p>
        </w:tc>
        <w:tc>
          <w:tcPr>
            <w:tcW w:w="217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三氧化硫含量</w:t>
            </w:r>
          </w:p>
        </w:tc>
        <w:tc>
          <w:tcPr>
            <w:tcW w:w="324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sz w:val="18"/>
                <w:szCs w:val="18"/>
              </w:rPr>
            </w:pPr>
            <w:r>
              <w:rPr>
                <w:color w:val="auto"/>
                <w:sz w:val="18"/>
                <w:szCs w:val="18"/>
              </w:rPr>
              <w:t>*</w:t>
            </w:r>
          </w:p>
        </w:tc>
        <w:tc>
          <w:tcPr>
            <w:tcW w:w="2698"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sz w:val="18"/>
                <w:szCs w:val="18"/>
              </w:rPr>
            </w:pPr>
            <w:r>
              <w:rPr>
                <w:color w:val="auto"/>
                <w:sz w:val="18"/>
                <w:szCs w:val="18"/>
              </w:rPr>
              <w:t>按GB/T176检验</w:t>
            </w:r>
          </w:p>
        </w:tc>
      </w:tr>
    </w:tbl>
    <w:p>
      <w:pPr>
        <w:adjustRightInd w:val="0"/>
        <w:snapToGrid w:val="0"/>
        <w:ind w:left="-2" w:leftChars="-1" w:firstLine="425"/>
        <w:jc w:val="left"/>
        <w:rPr>
          <w:color w:val="auto"/>
          <w:kern w:val="0"/>
          <w:sz w:val="21"/>
          <w:szCs w:val="21"/>
        </w:rPr>
      </w:pPr>
      <w:r>
        <w:rPr>
          <w:color w:val="auto"/>
          <w:kern w:val="0"/>
          <w:sz w:val="21"/>
          <w:szCs w:val="21"/>
        </w:rPr>
        <w:t>注：</w:t>
      </w:r>
      <w:r>
        <w:rPr>
          <w:b/>
          <w:color w:val="auto"/>
          <w:kern w:val="0"/>
          <w:sz w:val="21"/>
          <w:szCs w:val="21"/>
        </w:rPr>
        <w:t>1</w:t>
      </w:r>
      <w:r>
        <w:rPr>
          <w:color w:val="auto"/>
          <w:kern w:val="0"/>
          <w:sz w:val="21"/>
          <w:szCs w:val="21"/>
        </w:rPr>
        <w:t>硅灰掺量一般不超过胶凝材料总量的8%，且宜与其它矿物掺和料复合使用。</w:t>
      </w:r>
    </w:p>
    <w:p>
      <w:pPr>
        <w:adjustRightInd w:val="0"/>
        <w:snapToGrid w:val="0"/>
        <w:ind w:left="-2" w:leftChars="-1" w:firstLine="805" w:firstLineChars="382"/>
        <w:jc w:val="left"/>
        <w:rPr>
          <w:color w:val="auto"/>
          <w:kern w:val="0"/>
          <w:sz w:val="18"/>
          <w:szCs w:val="18"/>
        </w:rPr>
      </w:pPr>
      <w:r>
        <w:rPr>
          <w:b/>
          <w:color w:val="auto"/>
          <w:kern w:val="0"/>
          <w:sz w:val="21"/>
          <w:szCs w:val="21"/>
        </w:rPr>
        <w:t>2</w:t>
      </w:r>
      <w:r>
        <w:rPr>
          <w:color w:val="auto"/>
          <w:sz w:val="21"/>
          <w:szCs w:val="21"/>
        </w:rPr>
        <w:t>“*”三氧化硫含量值用于计算混凝土中总三氧化硫含量。</w:t>
      </w:r>
    </w:p>
    <w:p>
      <w:pPr>
        <w:pStyle w:val="3"/>
        <w:keepNext/>
        <w:keepLines/>
        <w:spacing w:before="360" w:beforeLines="0" w:after="360" w:afterLines="0" w:line="400" w:lineRule="atLeast"/>
        <w:rPr>
          <w:rFonts w:eastAsia="黑体"/>
          <w:b w:val="0"/>
          <w:color w:val="auto"/>
          <w:sz w:val="24"/>
          <w:szCs w:val="24"/>
        </w:rPr>
      </w:pPr>
      <w:bookmarkStart w:id="13" w:name="_Toc1658231"/>
      <w:r>
        <w:rPr>
          <w:rFonts w:eastAsia="黑体"/>
          <w:b w:val="0"/>
          <w:color w:val="auto"/>
          <w:sz w:val="24"/>
          <w:szCs w:val="24"/>
        </w:rPr>
        <w:t>4.2  骨料</w:t>
      </w:r>
      <w:bookmarkEnd w:id="13"/>
    </w:p>
    <w:p>
      <w:pPr>
        <w:pStyle w:val="48"/>
        <w:numPr>
          <w:ilvl w:val="0"/>
          <w:numId w:val="10"/>
        </w:numPr>
        <w:ind w:left="0" w:firstLine="0"/>
        <w:rPr>
          <w:b/>
          <w:bCs/>
          <w:color w:val="auto"/>
        </w:rPr>
      </w:pPr>
      <w:r>
        <w:rPr>
          <w:bCs/>
          <w:color w:val="auto"/>
        </w:rPr>
        <w:t>细骨料应符合下列规定：</w:t>
      </w:r>
    </w:p>
    <w:p>
      <w:pPr>
        <w:ind w:firstLine="482" w:firstLineChars="200"/>
        <w:rPr>
          <w:color w:val="auto"/>
        </w:rPr>
      </w:pPr>
      <w:r>
        <w:rPr>
          <w:rFonts w:eastAsia="黑体"/>
          <w:b/>
          <w:bCs/>
          <w:color w:val="auto"/>
        </w:rPr>
        <w:t>1</w:t>
      </w:r>
      <w:r>
        <w:rPr>
          <w:snapToGrid w:val="0"/>
          <w:color w:val="auto"/>
          <w:szCs w:val="24"/>
        </w:rPr>
        <w:t>应选用级配合理、质地坚硬、吸水率低、空隙率小的天然中、粗河砂，也可选用专门机组生产的人工砂，不得使用海砂。湿喷混凝土所用细骨料细度模数应大于2.5。高强喷射混凝土细骨料细度模数宜为2.6～3.2。</w:t>
      </w:r>
    </w:p>
    <w:p>
      <w:pPr>
        <w:ind w:firstLine="482" w:firstLineChars="200"/>
        <w:rPr>
          <w:color w:val="auto"/>
        </w:rPr>
      </w:pPr>
      <w:r>
        <w:rPr>
          <w:rFonts w:eastAsia="黑体"/>
          <w:b/>
          <w:bCs/>
          <w:color w:val="auto"/>
        </w:rPr>
        <w:t>2</w:t>
      </w:r>
      <w:r>
        <w:rPr>
          <w:color w:val="auto"/>
        </w:rPr>
        <w:t>细</w:t>
      </w:r>
      <w:r>
        <w:rPr>
          <w:snapToGrid w:val="0"/>
          <w:color w:val="auto"/>
          <w:szCs w:val="24"/>
        </w:rPr>
        <w:t>骨料的颗粒级配应符合表4.2.1-1的规定。</w:t>
      </w:r>
    </w:p>
    <w:p>
      <w:pPr>
        <w:spacing w:line="400" w:lineRule="exact"/>
        <w:jc w:val="center"/>
        <w:rPr>
          <w:b/>
          <w:color w:val="auto"/>
        </w:rPr>
      </w:pPr>
      <w:r>
        <w:rPr>
          <w:rFonts w:eastAsia="黑体"/>
          <w:bCs/>
          <w:color w:val="auto"/>
          <w:sz w:val="21"/>
          <w:szCs w:val="21"/>
        </w:rPr>
        <w:t>表4.2.1-1  细骨料的颗粒级配范围</w:t>
      </w:r>
    </w:p>
    <w:tbl>
      <w:tblPr>
        <w:tblStyle w:val="44"/>
        <w:tblW w:w="900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510"/>
        <w:gridCol w:w="1757"/>
        <w:gridCol w:w="1980"/>
        <w:gridCol w:w="20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2" w:hRule="atLeast"/>
        </w:trPr>
        <w:tc>
          <w:tcPr>
            <w:tcW w:w="3211" w:type="dxa"/>
            <w:gridSpan w:val="2"/>
            <w:tcBorders>
              <w:top w:val="single" w:color="000000" w:sz="4" w:space="0"/>
              <w:left w:val="single" w:color="000000" w:sz="4" w:space="0"/>
              <w:bottom w:val="single" w:color="000000" w:sz="4" w:space="0"/>
              <w:right w:val="single" w:color="000000" w:sz="4" w:space="0"/>
            </w:tcBorders>
          </w:tcPr>
          <w:p>
            <w:pPr>
              <w:spacing w:line="240" w:lineRule="exact"/>
              <w:ind w:firstLine="450" w:firstLineChars="250"/>
              <w:rPr>
                <w:color w:val="auto"/>
                <w:sz w:val="18"/>
                <w:szCs w:val="18"/>
              </w:rPr>
            </w:pPr>
            <w:r>
              <w:rPr>
                <w:color w:val="auto"/>
                <w:sz w:val="18"/>
                <w:szCs w:val="18"/>
              </w:rPr>
              <mc:AlternateContent>
                <mc:Choice Requires="wpg">
                  <w:drawing>
                    <wp:anchor distT="0" distB="0" distL="114300" distR="114300" simplePos="0" relativeHeight="251665408" behindDoc="0" locked="0" layoutInCell="1" allowOverlap="1">
                      <wp:simplePos x="0" y="0"/>
                      <wp:positionH relativeFrom="column">
                        <wp:posOffset>-66040</wp:posOffset>
                      </wp:positionH>
                      <wp:positionV relativeFrom="paragraph">
                        <wp:posOffset>0</wp:posOffset>
                      </wp:positionV>
                      <wp:extent cx="2033270" cy="466090"/>
                      <wp:effectExtent l="0" t="0" r="24130" b="29210"/>
                      <wp:wrapNone/>
                      <wp:docPr id="67" name="组合 67"/>
                      <wp:cNvGraphicFramePr/>
                      <a:graphic xmlns:a="http://schemas.openxmlformats.org/drawingml/2006/main">
                        <a:graphicData uri="http://schemas.microsoft.com/office/word/2010/wordprocessingGroup">
                          <wpg:wgp>
                            <wpg:cNvGrpSpPr/>
                            <wpg:grpSpPr>
                              <a:xfrm>
                                <a:off x="0" y="0"/>
                                <a:ext cx="2033270" cy="466090"/>
                                <a:chOff x="1484" y="9655"/>
                                <a:chExt cx="3202" cy="734"/>
                              </a:xfrm>
                            </wpg:grpSpPr>
                            <wps:wsp>
                              <wps:cNvPr id="68" name="直线 3"/>
                              <wps:cNvCnPr>
                                <a:cxnSpLocks noChangeShapeType="1"/>
                              </wps:cNvCnPr>
                              <wps:spPr bwMode="auto">
                                <a:xfrm>
                                  <a:off x="3089" y="9655"/>
                                  <a:ext cx="1597" cy="731"/>
                                </a:xfrm>
                                <a:prstGeom prst="line">
                                  <a:avLst/>
                                </a:prstGeom>
                                <a:noFill/>
                                <a:ln w="6350" cmpd="sng">
                                  <a:solidFill>
                                    <a:srgbClr val="000000"/>
                                  </a:solidFill>
                                  <a:round/>
                                </a:ln>
                              </wps:spPr>
                              <wps:bodyPr/>
                            </wps:wsp>
                            <wps:wsp>
                              <wps:cNvPr id="69" name="直线 4"/>
                              <wps:cNvCnPr>
                                <a:cxnSpLocks noChangeShapeType="1"/>
                              </wps:cNvCnPr>
                              <wps:spPr bwMode="auto">
                                <a:xfrm>
                                  <a:off x="1484" y="9877"/>
                                  <a:ext cx="3201" cy="512"/>
                                </a:xfrm>
                                <a:prstGeom prst="line">
                                  <a:avLst/>
                                </a:prstGeom>
                                <a:noFill/>
                                <a:ln w="6350" cmpd="sng">
                                  <a:solidFill>
                                    <a:srgbClr val="000000"/>
                                  </a:solidFill>
                                  <a:round/>
                                </a:ln>
                              </wps:spPr>
                              <wps:bodyPr/>
                            </wps:wsp>
                          </wpg:wgp>
                        </a:graphicData>
                      </a:graphic>
                    </wp:anchor>
                  </w:drawing>
                </mc:Choice>
                <mc:Fallback>
                  <w:pict>
                    <v:group id="_x0000_s1026" o:spid="_x0000_s1026" o:spt="203" style="position:absolute;left:0pt;margin-left:-5.2pt;margin-top:0pt;height:36.7pt;width:160.1pt;z-index:251665408;mso-width-relative:page;mso-height-relative:page;" coordorigin="1484,9655" coordsize="3202,734" o:gfxdata="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K8vwwzXAAAABwEAAA8AAAAAAAAAAQAgAAAAIgAAAGRycy9kb3ducmV2Lnht&#10;bFBLAQIUABQAAAAIAIdO4kBUrYnybAIAAGkGAAAOAAAAAAAAAAEAIAAAACYBAABkcnMvZTJvRG9j&#10;LnhtbFBLBQYAAAAABgAGAFkBAAAEBgAAAAA=&#10;">
                      <o:lock v:ext="edit" aspectratio="f"/>
                      <v:line id="直线 3" o:spid="_x0000_s1026" o:spt="20" style="position:absolute;left:3089;top:9655;height:731;width:1597;" filled="f" stroked="t" coordsize="21600,21600" o:gfxdata="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Tus46LgAAADbAAAA&#10;DwAAAAAAAAABACAAAAAiAAAAZHJzL2Rvd25yZXYueG1sUEsBAhQAFAAAAAgAh07iQDMvBZ47AAAA&#10;OQAAABAAAAAAAAAAAQAgAAAABwEAAGRycy9zaGFwZXhtbC54bWxQSwUGAAAAAAYABgBbAQAAsQMA&#10;AAAA&#10;">
                        <v:fill on="f" focussize="0,0"/>
                        <v:stroke weight="0.5pt" color="#000000" joinstyle="round"/>
                        <v:imagedata o:title=""/>
                        <o:lock v:ext="edit" aspectratio="f"/>
                      </v:line>
                      <v:line id="直线 4" o:spid="_x0000_s1026" o:spt="20" style="position:absolute;left:1484;top:9877;height:512;width:3201;" filled="f" stroked="t" coordsize="21600,21600" o:gfxdata="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aedc7sAAADb&#10;AAAADwAAAAAAAAABACAAAAAiAAAAZHJzL2Rvd25yZXYueG1sUEsBAhQAFAAAAAgAh07iQDMvBZ47&#10;AAAAOQAAABAAAAAAAAAAAQAgAAAACgEAAGRycy9zaGFwZXhtbC54bWxQSwUGAAAAAAYABgBbAQAA&#10;tAMAAAAA&#10;">
                        <v:fill on="f" focussize="0,0"/>
                        <v:stroke weight="0.5pt" color="#000000" joinstyle="round"/>
                        <v:imagedata o:title=""/>
                        <o:lock v:ext="edit" aspectratio="f"/>
                      </v:line>
                    </v:group>
                  </w:pict>
                </mc:Fallback>
              </mc:AlternateContent>
            </w:r>
            <w:r>
              <w:rPr>
                <w:color w:val="auto"/>
                <w:sz w:val="18"/>
                <w:szCs w:val="18"/>
              </w:rPr>
              <w:t>累计筛余，%          级配区</w:t>
            </w:r>
          </w:p>
          <w:p>
            <w:pPr>
              <w:spacing w:before="120" w:beforeLines="50" w:line="240" w:lineRule="exact"/>
              <w:rPr>
                <w:color w:val="auto"/>
                <w:sz w:val="18"/>
                <w:szCs w:val="18"/>
              </w:rPr>
            </w:pPr>
            <w:r>
              <w:rPr>
                <w:color w:val="auto"/>
                <w:sz w:val="18"/>
                <w:szCs w:val="18"/>
              </w:rPr>
              <w:t>公称粒径，mm</w:t>
            </w:r>
          </w:p>
        </w:tc>
        <w:tc>
          <w:tcPr>
            <w:tcW w:w="1757"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color w:val="auto"/>
                <w:sz w:val="18"/>
                <w:szCs w:val="18"/>
              </w:rPr>
            </w:pPr>
            <w:r>
              <w:rPr>
                <w:rFonts w:hint="eastAsia" w:ascii="宋体" w:hAnsi="宋体" w:cs="宋体"/>
                <w:color w:val="auto"/>
                <w:sz w:val="18"/>
                <w:szCs w:val="18"/>
              </w:rPr>
              <w:t>Ⅰ</w:t>
            </w:r>
            <w:r>
              <w:rPr>
                <w:color w:val="auto"/>
                <w:sz w:val="18"/>
                <w:szCs w:val="18"/>
              </w:rPr>
              <w:t>区</w:t>
            </w:r>
          </w:p>
        </w:tc>
        <w:tc>
          <w:tcPr>
            <w:tcW w:w="1980"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color w:val="auto"/>
                <w:sz w:val="18"/>
                <w:szCs w:val="18"/>
              </w:rPr>
            </w:pPr>
            <w:r>
              <w:rPr>
                <w:rFonts w:hint="eastAsia" w:ascii="宋体" w:hAnsi="宋体" w:cs="宋体"/>
                <w:color w:val="auto"/>
                <w:sz w:val="18"/>
                <w:szCs w:val="18"/>
              </w:rPr>
              <w:t>Ⅱ</w:t>
            </w:r>
            <w:r>
              <w:rPr>
                <w:color w:val="auto"/>
                <w:sz w:val="18"/>
                <w:szCs w:val="18"/>
              </w:rPr>
              <w:t>区</w:t>
            </w:r>
          </w:p>
        </w:tc>
        <w:tc>
          <w:tcPr>
            <w:tcW w:w="2054" w:type="dxa"/>
            <w:tcBorders>
              <w:top w:val="single" w:color="000000" w:sz="4" w:space="0"/>
              <w:left w:val="single" w:color="000000" w:sz="4" w:space="0"/>
              <w:bottom w:val="single" w:color="000000" w:sz="4" w:space="0"/>
              <w:right w:val="single" w:color="000000" w:sz="4" w:space="0"/>
            </w:tcBorders>
            <w:vAlign w:val="center"/>
          </w:tcPr>
          <w:p>
            <w:pPr>
              <w:spacing w:line="240" w:lineRule="exact"/>
              <w:jc w:val="center"/>
              <w:rPr>
                <w:color w:val="auto"/>
                <w:sz w:val="18"/>
                <w:szCs w:val="18"/>
              </w:rPr>
            </w:pPr>
            <w:r>
              <w:rPr>
                <w:rFonts w:hint="eastAsia" w:ascii="宋体" w:hAnsi="宋体" w:cs="宋体"/>
                <w:color w:val="auto"/>
                <w:sz w:val="18"/>
                <w:szCs w:val="18"/>
              </w:rPr>
              <w:t>Ⅲ</w:t>
            </w:r>
            <w:r>
              <w:rPr>
                <w:color w:val="auto"/>
                <w:sz w:val="18"/>
                <w:szCs w:val="18"/>
              </w:rPr>
              <w:t>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0</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5.00</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2.50</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35～5</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25～0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15～0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1.25</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65～35</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50～10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25～0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0.63</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85～71</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70～41</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40～16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1" w:hRule="atLeast"/>
        </w:trPr>
        <w:tc>
          <w:tcPr>
            <w:tcW w:w="3211" w:type="dxa"/>
            <w:gridSpan w:val="2"/>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0.315</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95～80</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92～70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b/>
                <w:color w:val="auto"/>
                <w:sz w:val="18"/>
                <w:szCs w:val="18"/>
              </w:rPr>
            </w:pPr>
            <w:r>
              <w:rPr>
                <w:color w:val="auto"/>
                <w:sz w:val="18"/>
                <w:szCs w:val="18"/>
              </w:rPr>
              <w:t>85～55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01" w:type="dxa"/>
            <w:vMerge w:val="restart"/>
            <w:tcBorders>
              <w:top w:val="single" w:color="000000" w:sz="4" w:space="0"/>
              <w:left w:val="single" w:color="000000" w:sz="4" w:space="0"/>
              <w:bottom w:val="single" w:color="000000" w:sz="4" w:space="0"/>
              <w:right w:val="single" w:color="auto" w:sz="4" w:space="0"/>
            </w:tcBorders>
            <w:vAlign w:val="center"/>
          </w:tcPr>
          <w:p>
            <w:pPr>
              <w:jc w:val="center"/>
              <w:rPr>
                <w:color w:val="auto"/>
                <w:sz w:val="18"/>
                <w:szCs w:val="18"/>
              </w:rPr>
            </w:pPr>
            <w:r>
              <w:rPr>
                <w:color w:val="auto"/>
                <w:sz w:val="18"/>
                <w:szCs w:val="18"/>
              </w:rPr>
              <w:t>0.160</w:t>
            </w:r>
          </w:p>
        </w:tc>
        <w:tc>
          <w:tcPr>
            <w:tcW w:w="1510" w:type="dxa"/>
            <w:tcBorders>
              <w:top w:val="single" w:color="000000" w:sz="4" w:space="0"/>
              <w:left w:val="single" w:color="auto" w:sz="4" w:space="0"/>
              <w:bottom w:val="single" w:color="000000" w:sz="4" w:space="0"/>
              <w:right w:val="single" w:color="000000" w:sz="4" w:space="0"/>
            </w:tcBorders>
            <w:vAlign w:val="center"/>
          </w:tcPr>
          <w:p>
            <w:pPr>
              <w:jc w:val="center"/>
              <w:rPr>
                <w:color w:val="auto"/>
                <w:sz w:val="18"/>
                <w:szCs w:val="18"/>
              </w:rPr>
            </w:pPr>
            <w:r>
              <w:rPr>
                <w:color w:val="auto"/>
                <w:sz w:val="18"/>
                <w:szCs w:val="18"/>
              </w:rPr>
              <w:t>天然河砂</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100～90</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100～90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100～90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trPr>
        <w:tc>
          <w:tcPr>
            <w:tcW w:w="1701" w:type="dxa"/>
            <w:vMerge w:val="continue"/>
            <w:tcBorders>
              <w:top w:val="single" w:color="000000" w:sz="4" w:space="0"/>
              <w:left w:val="single" w:color="000000" w:sz="4" w:space="0"/>
              <w:bottom w:val="single" w:color="000000" w:sz="4" w:space="0"/>
              <w:right w:val="single" w:color="auto" w:sz="4" w:space="0"/>
            </w:tcBorders>
            <w:vAlign w:val="center"/>
          </w:tcPr>
          <w:p>
            <w:pPr>
              <w:jc w:val="center"/>
              <w:rPr>
                <w:color w:val="auto"/>
                <w:sz w:val="18"/>
                <w:szCs w:val="18"/>
              </w:rPr>
            </w:pPr>
          </w:p>
        </w:tc>
        <w:tc>
          <w:tcPr>
            <w:tcW w:w="1510" w:type="dxa"/>
            <w:tcBorders>
              <w:top w:val="single" w:color="000000" w:sz="4" w:space="0"/>
              <w:left w:val="single" w:color="auto" w:sz="4" w:space="0"/>
              <w:bottom w:val="single" w:color="000000" w:sz="4" w:space="0"/>
              <w:right w:val="single" w:color="000000" w:sz="4" w:space="0"/>
            </w:tcBorders>
            <w:vAlign w:val="center"/>
          </w:tcPr>
          <w:p>
            <w:pPr>
              <w:jc w:val="center"/>
              <w:rPr>
                <w:color w:val="auto"/>
                <w:sz w:val="18"/>
                <w:szCs w:val="18"/>
              </w:rPr>
            </w:pPr>
            <w:r>
              <w:rPr>
                <w:color w:val="auto"/>
                <w:sz w:val="18"/>
                <w:szCs w:val="18"/>
              </w:rPr>
              <w:t>机制砂</w:t>
            </w:r>
          </w:p>
        </w:tc>
        <w:tc>
          <w:tcPr>
            <w:tcW w:w="1757"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97～85</w:t>
            </w:r>
          </w:p>
        </w:tc>
        <w:tc>
          <w:tcPr>
            <w:tcW w:w="198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94～80</w:t>
            </w:r>
          </w:p>
        </w:tc>
        <w:tc>
          <w:tcPr>
            <w:tcW w:w="205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18"/>
                <w:szCs w:val="18"/>
              </w:rPr>
            </w:pPr>
            <w:r>
              <w:rPr>
                <w:color w:val="auto"/>
                <w:sz w:val="18"/>
                <w:szCs w:val="18"/>
              </w:rPr>
              <w:t>94～75</w:t>
            </w:r>
          </w:p>
        </w:tc>
      </w:tr>
    </w:tbl>
    <w:p>
      <w:pPr>
        <w:adjustRightInd w:val="0"/>
        <w:snapToGrid w:val="0"/>
        <w:ind w:left="1104" w:leftChars="202" w:hanging="619" w:hangingChars="295"/>
        <w:rPr>
          <w:color w:val="auto"/>
          <w:sz w:val="21"/>
          <w:szCs w:val="21"/>
        </w:rPr>
      </w:pPr>
      <w:r>
        <w:rPr>
          <w:color w:val="auto"/>
          <w:kern w:val="0"/>
          <w:sz w:val="21"/>
          <w:szCs w:val="21"/>
        </w:rPr>
        <w:t>注</w:t>
      </w:r>
      <w:r>
        <w:rPr>
          <w:color w:val="auto"/>
          <w:sz w:val="21"/>
          <w:szCs w:val="21"/>
        </w:rPr>
        <w:t>：</w:t>
      </w:r>
      <w:r>
        <w:rPr>
          <w:b/>
          <w:color w:val="auto"/>
          <w:sz w:val="21"/>
          <w:szCs w:val="21"/>
        </w:rPr>
        <w:t>1</w:t>
      </w:r>
      <w:r>
        <w:rPr>
          <w:color w:val="auto"/>
          <w:sz w:val="21"/>
          <w:szCs w:val="21"/>
        </w:rPr>
        <w:t xml:space="preserve"> 除5.00 mm和0.63 mm筛档外，细骨料的实际颗粒级配与上表所列的累计筛余百分率相比允许稍有超出分界线，但超出总量不应大于5%。</w:t>
      </w:r>
    </w:p>
    <w:p>
      <w:pPr>
        <w:adjustRightInd w:val="0"/>
        <w:snapToGrid w:val="0"/>
        <w:ind w:left="1098" w:leftChars="374" w:hanging="200" w:hangingChars="95"/>
        <w:rPr>
          <w:color w:val="auto"/>
          <w:sz w:val="18"/>
          <w:szCs w:val="18"/>
        </w:rPr>
      </w:pPr>
      <w:r>
        <w:rPr>
          <w:b/>
          <w:color w:val="auto"/>
          <w:sz w:val="21"/>
          <w:szCs w:val="21"/>
        </w:rPr>
        <w:t>2</w:t>
      </w:r>
      <w:r>
        <w:rPr>
          <w:color w:val="auto"/>
          <w:sz w:val="21"/>
          <w:szCs w:val="21"/>
        </w:rPr>
        <w:t xml:space="preserve"> 细骨料中粒径大于5mm的颗粒含量不宜大于5%，否则应在混凝土试配时将超出限量部分计入粗骨料</w:t>
      </w:r>
      <w:r>
        <w:rPr>
          <w:color w:val="auto"/>
          <w:sz w:val="18"/>
          <w:szCs w:val="18"/>
        </w:rPr>
        <w:t>。</w:t>
      </w:r>
    </w:p>
    <w:p>
      <w:pPr>
        <w:ind w:firstLine="482" w:firstLineChars="200"/>
        <w:rPr>
          <w:color w:val="auto"/>
        </w:rPr>
      </w:pPr>
      <w:r>
        <w:rPr>
          <w:rFonts w:eastAsia="黑体"/>
          <w:b/>
          <w:bCs/>
          <w:color w:val="auto"/>
        </w:rPr>
        <w:t>3</w:t>
      </w:r>
      <w:r>
        <w:rPr>
          <w:snapToGrid w:val="0"/>
          <w:color w:val="auto"/>
          <w:szCs w:val="24"/>
        </w:rPr>
        <w:t>细骨料的其他性能应符合表4.2.1-2的规定。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表4.2.1-2  细骨料的性能</w:t>
      </w:r>
    </w:p>
    <w:tbl>
      <w:tblPr>
        <w:tblStyle w:val="44"/>
        <w:tblW w:w="8844"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758"/>
        <w:gridCol w:w="1148"/>
        <w:gridCol w:w="2189"/>
        <w:gridCol w:w="850"/>
        <w:gridCol w:w="851"/>
        <w:gridCol w:w="850"/>
        <w:gridCol w:w="2198"/>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vMerge w:val="restart"/>
            <w:tcBorders>
              <w:top w:val="single" w:color="auto" w:sz="8"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序号</w:t>
            </w:r>
          </w:p>
        </w:tc>
        <w:tc>
          <w:tcPr>
            <w:tcW w:w="3337" w:type="dxa"/>
            <w:gridSpan w:val="2"/>
            <w:vMerge w:val="restart"/>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检验项目</w:t>
            </w:r>
          </w:p>
        </w:tc>
        <w:tc>
          <w:tcPr>
            <w:tcW w:w="2551" w:type="dxa"/>
            <w:gridSpan w:val="3"/>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技术要求</w:t>
            </w:r>
          </w:p>
        </w:tc>
        <w:tc>
          <w:tcPr>
            <w:tcW w:w="2198" w:type="dxa"/>
            <w:vMerge w:val="restart"/>
            <w:tcBorders>
              <w:top w:val="single" w:color="auto" w:sz="8"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3337" w:type="dxa"/>
            <w:gridSpan w:val="2"/>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＜C30</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C30～C35</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≥C40</w:t>
            </w:r>
          </w:p>
        </w:tc>
        <w:tc>
          <w:tcPr>
            <w:tcW w:w="2198" w:type="dxa"/>
            <w:vMerge w:val="continue"/>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含泥量</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≤3.0%</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≤3.0%</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≤2.5%</w:t>
            </w:r>
          </w:p>
        </w:tc>
        <w:tc>
          <w:tcPr>
            <w:tcW w:w="2198"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泥块含量</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≤0.5%</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云母含量</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≤0.5%</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4</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轻物质含量</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≤0.5%</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有机物含量</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浅于标准色</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6</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压碎指标（机制砂）</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≤25%</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64" w:hRule="atLeast"/>
          <w:jc w:val="center"/>
        </w:trPr>
        <w:tc>
          <w:tcPr>
            <w:tcW w:w="758" w:type="dxa"/>
            <w:vMerge w:val="restart"/>
            <w:tcBorders>
              <w:top w:val="single" w:color="auto" w:sz="4" w:space="0"/>
              <w:left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w:t>
            </w:r>
          </w:p>
        </w:tc>
        <w:tc>
          <w:tcPr>
            <w:tcW w:w="1148" w:type="dxa"/>
            <w:vMerge w:val="restart"/>
            <w:tcBorders>
              <w:top w:val="single" w:color="auto" w:sz="4" w:space="0"/>
              <w:left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石粉含量</w:t>
            </w:r>
          </w:p>
          <w:p>
            <w:pPr>
              <w:tabs>
                <w:tab w:val="left" w:pos="3430"/>
              </w:tabs>
              <w:adjustRightInd w:val="0"/>
              <w:snapToGrid w:val="0"/>
              <w:spacing w:line="240" w:lineRule="exact"/>
              <w:jc w:val="center"/>
              <w:rPr>
                <w:color w:val="auto"/>
                <w:kern w:val="0"/>
                <w:sz w:val="18"/>
                <w:szCs w:val="18"/>
              </w:rPr>
            </w:pPr>
            <w:r>
              <w:rPr>
                <w:color w:val="auto"/>
                <w:kern w:val="0"/>
                <w:sz w:val="18"/>
                <w:szCs w:val="18"/>
              </w:rPr>
              <w:t>（机制砂）</w:t>
            </w:r>
          </w:p>
        </w:tc>
        <w:tc>
          <w:tcPr>
            <w:tcW w:w="2189"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MB＜0.5 g/kg</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≤15.0%</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64" w:hRule="atLeast"/>
          <w:jc w:val="center"/>
        </w:trPr>
        <w:tc>
          <w:tcPr>
            <w:tcW w:w="758" w:type="dxa"/>
            <w:vMerge w:val="continue"/>
            <w:tcBorders>
              <w:top w:val="single" w:color="auto" w:sz="4" w:space="0"/>
              <w:left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148" w:type="dxa"/>
            <w:vMerge w:val="continue"/>
            <w:tcBorders>
              <w:top w:val="single" w:color="auto" w:sz="4" w:space="0"/>
              <w:left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2189"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0.5 g/kg≤MB＜1.40 g/kg</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≤10.0%</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≤7.0%</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≤5.0%</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80" w:hRule="atLeast"/>
          <w:jc w:val="center"/>
        </w:trPr>
        <w:tc>
          <w:tcPr>
            <w:tcW w:w="758"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148"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2189"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MB≥1.40 g/kg</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≤5.0%</w:t>
            </w:r>
          </w:p>
        </w:tc>
        <w:tc>
          <w:tcPr>
            <w:tcW w:w="851"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≤3.0%</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≤1.0%</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吸水率</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 xml:space="preserve">≤2.0% </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9</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坚固性</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536" w:hRule="atLeast"/>
          <w:jc w:val="center"/>
        </w:trPr>
        <w:tc>
          <w:tcPr>
            <w:tcW w:w="758"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10</w:t>
            </w:r>
          </w:p>
        </w:tc>
        <w:tc>
          <w:tcPr>
            <w:tcW w:w="3337"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硫化物及硫酸盐含量</w:t>
            </w:r>
          </w:p>
          <w:p>
            <w:pPr>
              <w:tabs>
                <w:tab w:val="left" w:pos="3430"/>
              </w:tabs>
              <w:adjustRightInd w:val="0"/>
              <w:snapToGrid w:val="0"/>
              <w:spacing w:line="240" w:lineRule="exact"/>
              <w:jc w:val="center"/>
              <w:rPr>
                <w:color w:val="auto"/>
                <w:kern w:val="0"/>
                <w:sz w:val="18"/>
                <w:szCs w:val="18"/>
              </w:rPr>
            </w:pPr>
            <w:r>
              <w:rPr>
                <w:color w:val="auto"/>
                <w:kern w:val="0"/>
                <w:sz w:val="18"/>
                <w:szCs w:val="18"/>
              </w:rPr>
              <w:t>（以SO</w:t>
            </w:r>
            <w:r>
              <w:rPr>
                <w:color w:val="auto"/>
                <w:kern w:val="0"/>
                <w:sz w:val="18"/>
                <w:szCs w:val="18"/>
                <w:vertAlign w:val="subscript"/>
              </w:rPr>
              <w:t>3</w:t>
            </w:r>
            <w:r>
              <w:rPr>
                <w:color w:val="auto"/>
                <w:kern w:val="0"/>
                <w:sz w:val="18"/>
                <w:szCs w:val="18"/>
              </w:rPr>
              <w:t>计）</w:t>
            </w:r>
          </w:p>
        </w:tc>
        <w:tc>
          <w:tcPr>
            <w:tcW w:w="2551"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≤0.5%</w:t>
            </w:r>
          </w:p>
        </w:tc>
        <w:tc>
          <w:tcPr>
            <w:tcW w:w="2198" w:type="dxa"/>
            <w:tcBorders>
              <w:top w:val="single" w:color="auto" w:sz="4" w:space="0"/>
              <w:left w:val="single" w:color="auto" w:sz="4" w:space="0"/>
              <w:bottom w:val="single" w:color="auto" w:sz="4" w:space="0"/>
              <w:right w:val="single" w:color="auto" w:sz="8" w:space="0"/>
            </w:tcBorders>
          </w:tcPr>
          <w:p>
            <w:pPr>
              <w:tabs>
                <w:tab w:val="left" w:pos="3430"/>
              </w:tabs>
              <w:adjustRightInd w:val="0"/>
              <w:snapToGrid w:val="0"/>
              <w:jc w:val="center"/>
              <w:rPr>
                <w:color w:val="auto"/>
                <w:kern w:val="0"/>
                <w:sz w:val="18"/>
                <w:szCs w:val="18"/>
              </w:rPr>
            </w:pPr>
            <w:r>
              <w:rPr>
                <w:color w:val="auto"/>
                <w:kern w:val="0"/>
                <w:sz w:val="18"/>
                <w:szCs w:val="18"/>
              </w:rPr>
              <w:t>按GB/T14684检验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jc w:val="center"/>
        </w:trPr>
        <w:tc>
          <w:tcPr>
            <w:tcW w:w="758" w:type="dxa"/>
            <w:tcBorders>
              <w:top w:val="single" w:color="auto" w:sz="4" w:space="0"/>
              <w:left w:val="single" w:color="auto" w:sz="8" w:space="0"/>
              <w:bottom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11</w:t>
            </w:r>
          </w:p>
        </w:tc>
        <w:tc>
          <w:tcPr>
            <w:tcW w:w="3337" w:type="dxa"/>
            <w:gridSpan w:val="2"/>
            <w:tcBorders>
              <w:top w:val="single" w:color="auto" w:sz="4" w:space="0"/>
              <w:left w:val="single" w:color="auto" w:sz="4" w:space="0"/>
              <w:bottom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氯化物含量（以Cl</w:t>
            </w:r>
            <w:r>
              <w:rPr>
                <w:color w:val="auto"/>
                <w:kern w:val="0"/>
                <w:sz w:val="18"/>
                <w:szCs w:val="18"/>
                <w:vertAlign w:val="superscript"/>
              </w:rPr>
              <w:t xml:space="preserve">- </w:t>
            </w:r>
            <w:r>
              <w:rPr>
                <w:color w:val="auto"/>
                <w:kern w:val="0"/>
                <w:sz w:val="18"/>
                <w:szCs w:val="18"/>
              </w:rPr>
              <w:t>计）</w:t>
            </w:r>
          </w:p>
        </w:tc>
        <w:tc>
          <w:tcPr>
            <w:tcW w:w="2551" w:type="dxa"/>
            <w:gridSpan w:val="3"/>
            <w:tcBorders>
              <w:top w:val="single" w:color="auto" w:sz="4" w:space="0"/>
              <w:left w:val="single" w:color="auto" w:sz="4" w:space="0"/>
              <w:bottom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≤0.02%</w:t>
            </w:r>
          </w:p>
        </w:tc>
        <w:tc>
          <w:tcPr>
            <w:tcW w:w="2198" w:type="dxa"/>
            <w:tcBorders>
              <w:top w:val="single" w:color="auto" w:sz="4" w:space="0"/>
              <w:left w:val="single" w:color="auto" w:sz="4" w:space="0"/>
              <w:bottom w:val="single" w:color="auto" w:sz="8" w:space="0"/>
              <w:right w:val="single" w:color="auto" w:sz="8" w:space="0"/>
            </w:tcBorders>
          </w:tcPr>
          <w:p>
            <w:pPr>
              <w:tabs>
                <w:tab w:val="left" w:pos="3430"/>
              </w:tabs>
              <w:adjustRightInd w:val="0"/>
              <w:snapToGrid w:val="0"/>
              <w:spacing w:line="240" w:lineRule="exact"/>
              <w:jc w:val="center"/>
              <w:rPr>
                <w:color w:val="auto"/>
                <w:kern w:val="0"/>
                <w:sz w:val="18"/>
                <w:szCs w:val="18"/>
              </w:rPr>
            </w:pPr>
            <w:r>
              <w:rPr>
                <w:color w:val="auto"/>
                <w:kern w:val="0"/>
                <w:sz w:val="18"/>
                <w:szCs w:val="18"/>
              </w:rPr>
              <w:t>按GB/T14684检验</w:t>
            </w:r>
          </w:p>
        </w:tc>
      </w:tr>
    </w:tbl>
    <w:p>
      <w:pPr>
        <w:adjustRightInd w:val="0"/>
        <w:snapToGrid w:val="0"/>
        <w:ind w:left="1115" w:leftChars="202" w:hanging="630" w:hangingChars="300"/>
        <w:rPr>
          <w:color w:val="auto"/>
          <w:kern w:val="0"/>
          <w:sz w:val="21"/>
          <w:szCs w:val="21"/>
        </w:rPr>
      </w:pPr>
      <w:r>
        <w:rPr>
          <w:color w:val="auto"/>
          <w:kern w:val="0"/>
          <w:sz w:val="21"/>
          <w:szCs w:val="21"/>
        </w:rPr>
        <w:t>注：</w:t>
      </w:r>
      <w:r>
        <w:rPr>
          <w:b/>
          <w:color w:val="auto"/>
          <w:kern w:val="0"/>
          <w:sz w:val="21"/>
          <w:szCs w:val="21"/>
        </w:rPr>
        <w:t>1</w:t>
      </w:r>
      <w:r>
        <w:rPr>
          <w:color w:val="auto"/>
          <w:kern w:val="0"/>
          <w:sz w:val="21"/>
          <w:szCs w:val="21"/>
        </w:rPr>
        <w:t xml:space="preserve"> 冻融破坏环境下，细骨料的含泥量应不大于2.0%。</w:t>
      </w:r>
    </w:p>
    <w:p>
      <w:pPr>
        <w:adjustRightInd w:val="0"/>
        <w:snapToGrid w:val="0"/>
        <w:ind w:left="1117" w:leftChars="202" w:hanging="632" w:hangingChars="300"/>
        <w:rPr>
          <w:color w:val="auto"/>
          <w:kern w:val="0"/>
          <w:sz w:val="21"/>
          <w:szCs w:val="21"/>
        </w:rPr>
      </w:pPr>
      <w:r>
        <w:rPr>
          <w:b/>
          <w:color w:val="auto"/>
          <w:kern w:val="0"/>
          <w:sz w:val="21"/>
          <w:szCs w:val="21"/>
        </w:rPr>
        <w:t>2</w:t>
      </w:r>
      <w:r>
        <w:rPr>
          <w:color w:val="auto"/>
          <w:kern w:val="0"/>
          <w:sz w:val="21"/>
          <w:szCs w:val="21"/>
        </w:rPr>
        <w:t xml:space="preserve"> 当砂中含有颗粒状的硫酸盐或硫化物杂质时，应进行专门检验，确认能满足混凝土耐久性要求时，方能采用。</w:t>
      </w:r>
    </w:p>
    <w:p>
      <w:pPr>
        <w:tabs>
          <w:tab w:val="left" w:pos="1276"/>
        </w:tabs>
        <w:adjustRightInd w:val="0"/>
        <w:snapToGrid w:val="0"/>
        <w:ind w:firstLine="482" w:firstLineChars="200"/>
        <w:rPr>
          <w:color w:val="auto"/>
          <w:kern w:val="0"/>
        </w:rPr>
      </w:pPr>
      <w:r>
        <w:rPr>
          <w:rFonts w:eastAsia="黑体"/>
          <w:b/>
          <w:bCs/>
          <w:color w:val="auto"/>
        </w:rPr>
        <w:t>4</w:t>
      </w:r>
      <w:r>
        <w:rPr>
          <w:snapToGrid w:val="0"/>
          <w:color w:val="auto"/>
          <w:szCs w:val="24"/>
        </w:rPr>
        <w:t>细骨料的检验方法和检验数量应符合《铁路混凝土工程施工质量验收标准》TB 10424的规定。</w:t>
      </w:r>
    </w:p>
    <w:p>
      <w:pPr>
        <w:tabs>
          <w:tab w:val="left" w:pos="1276"/>
        </w:tabs>
        <w:adjustRightInd w:val="0"/>
        <w:snapToGrid w:val="0"/>
        <w:ind w:firstLine="482" w:firstLineChars="200"/>
        <w:rPr>
          <w:snapToGrid w:val="0"/>
          <w:color w:val="auto"/>
          <w:szCs w:val="24"/>
        </w:rPr>
      </w:pPr>
      <w:r>
        <w:rPr>
          <w:rFonts w:eastAsia="黑体"/>
          <w:b/>
          <w:bCs/>
          <w:color w:val="auto"/>
        </w:rPr>
        <w:t xml:space="preserve">5 </w:t>
      </w:r>
      <w:r>
        <w:rPr>
          <w:snapToGrid w:val="0"/>
          <w:color w:val="auto"/>
          <w:szCs w:val="24"/>
        </w:rPr>
        <w:t>细骨料的碱活性应按《铁路混凝土》TB/T 3275先对骨料的矿物组成和碱活性矿物类型进行</w:t>
      </w:r>
      <w:r>
        <w:rPr>
          <w:rFonts w:hint="eastAsia"/>
          <w:snapToGrid w:val="0"/>
          <w:color w:val="auto"/>
          <w:szCs w:val="24"/>
        </w:rPr>
        <w:t>鉴别和相关试验。</w:t>
      </w:r>
      <w:r>
        <w:rPr>
          <w:snapToGrid w:val="0"/>
          <w:color w:val="auto"/>
          <w:szCs w:val="24"/>
        </w:rPr>
        <w:t>碱活性应</w:t>
      </w:r>
      <w:r>
        <w:rPr>
          <w:rFonts w:hint="eastAsia"/>
          <w:snapToGrid w:val="0"/>
          <w:color w:val="auto"/>
          <w:szCs w:val="24"/>
        </w:rPr>
        <w:t>可采用</w:t>
      </w:r>
      <w:r>
        <w:rPr>
          <w:snapToGrid w:val="0"/>
          <w:color w:val="auto"/>
          <w:szCs w:val="24"/>
        </w:rPr>
        <w:t>快速砂浆棒膨胀率进行检验</w:t>
      </w:r>
      <w:r>
        <w:rPr>
          <w:rFonts w:hint="eastAsia"/>
          <w:snapToGrid w:val="0"/>
          <w:color w:val="auto"/>
          <w:szCs w:val="24"/>
        </w:rPr>
        <w:t>，</w:t>
      </w:r>
      <w:r>
        <w:rPr>
          <w:snapToGrid w:val="0"/>
          <w:color w:val="auto"/>
          <w:szCs w:val="24"/>
        </w:rPr>
        <w:t>细骨料的快速砂浆棒膨胀率应小于0.30%。</w:t>
      </w:r>
    </w:p>
    <w:p>
      <w:pPr>
        <w:pStyle w:val="48"/>
        <w:numPr>
          <w:ilvl w:val="0"/>
          <w:numId w:val="10"/>
        </w:numPr>
        <w:jc w:val="left"/>
        <w:rPr>
          <w:b/>
          <w:bCs/>
          <w:color w:val="auto"/>
        </w:rPr>
      </w:pPr>
      <w:r>
        <w:rPr>
          <w:snapToGrid w:val="0"/>
          <w:color w:val="auto"/>
          <w:szCs w:val="24"/>
        </w:rPr>
        <w:t>粗骨料应符合下列规定：</w:t>
      </w:r>
    </w:p>
    <w:p>
      <w:pPr>
        <w:ind w:firstLine="482" w:firstLineChars="200"/>
        <w:rPr>
          <w:color w:val="auto"/>
        </w:rPr>
      </w:pPr>
      <w:r>
        <w:rPr>
          <w:rFonts w:eastAsia="黑体"/>
          <w:b/>
          <w:bCs/>
          <w:color w:val="auto"/>
        </w:rPr>
        <w:t xml:space="preserve">1 </w:t>
      </w:r>
      <w:r>
        <w:rPr>
          <w:snapToGrid w:val="0"/>
          <w:color w:val="auto"/>
          <w:szCs w:val="24"/>
        </w:rPr>
        <w:t>粗骨料应选用粒形良好、质地坚固、线胀系数小的洁净碎石，普通部位或设计无特殊要求的C40以下混凝土也可采用卵石。湿喷混凝土所用粗骨料最大粒径不宜大于16mm，钢纤维湿喷混凝土粗骨料最大粒径不宜大于10mm。</w:t>
      </w:r>
    </w:p>
    <w:p>
      <w:pPr>
        <w:ind w:firstLine="482" w:firstLineChars="200"/>
        <w:rPr>
          <w:color w:val="auto"/>
        </w:rPr>
      </w:pPr>
      <w:r>
        <w:rPr>
          <w:rFonts w:eastAsia="黑体"/>
          <w:b/>
          <w:bCs/>
          <w:color w:val="auto"/>
        </w:rPr>
        <w:t>2</w:t>
      </w:r>
      <w:r>
        <w:rPr>
          <w:snapToGrid w:val="0"/>
          <w:color w:val="auto"/>
          <w:szCs w:val="24"/>
        </w:rPr>
        <w:t>粗骨料的颗粒级配应符合表4.2.2-1的规定。</w:t>
      </w:r>
    </w:p>
    <w:p>
      <w:pPr>
        <w:adjustRightInd w:val="0"/>
        <w:snapToGrid w:val="0"/>
        <w:spacing w:line="400" w:lineRule="exact"/>
        <w:jc w:val="center"/>
        <w:rPr>
          <w:b/>
          <w:color w:val="auto"/>
        </w:rPr>
      </w:pPr>
      <w:r>
        <w:rPr>
          <w:rFonts w:eastAsia="黑体"/>
          <w:bCs/>
          <w:color w:val="auto"/>
          <w:sz w:val="21"/>
          <w:szCs w:val="21"/>
        </w:rPr>
        <w:t>表4.2.2-1  粗骨料的颗粒级配</w:t>
      </w:r>
    </w:p>
    <w:tbl>
      <w:tblPr>
        <w:tblStyle w:val="44"/>
        <w:tblW w:w="9005"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36"/>
        <w:gridCol w:w="1084"/>
        <w:gridCol w:w="1016"/>
        <w:gridCol w:w="1027"/>
        <w:gridCol w:w="854"/>
        <w:gridCol w:w="854"/>
        <w:gridCol w:w="832"/>
        <w:gridCol w:w="733"/>
        <w:gridCol w:w="734"/>
        <w:gridCol w:w="7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5" w:hRule="atLeast"/>
          <w:jc w:val="center"/>
        </w:trPr>
        <w:tc>
          <w:tcPr>
            <w:tcW w:w="1136" w:type="dxa"/>
            <w:vMerge w:val="restart"/>
            <w:tcBorders>
              <w:left w:val="single" w:color="auto" w:sz="4" w:space="0"/>
            </w:tcBorders>
            <w:vAlign w:val="center"/>
          </w:tcPr>
          <w:p>
            <w:pPr>
              <w:jc w:val="center"/>
              <w:rPr>
                <w:bCs/>
                <w:color w:val="auto"/>
                <w:sz w:val="18"/>
                <w:szCs w:val="18"/>
              </w:rPr>
            </w:pPr>
            <w:r>
              <w:rPr>
                <w:bCs/>
                <w:color w:val="auto"/>
                <w:sz w:val="18"/>
                <w:szCs w:val="18"/>
              </w:rPr>
              <w:t>公称粒径（mm）</w:t>
            </w:r>
          </w:p>
        </w:tc>
        <w:tc>
          <w:tcPr>
            <w:tcW w:w="7869" w:type="dxa"/>
            <w:gridSpan w:val="9"/>
            <w:vAlign w:val="center"/>
          </w:tcPr>
          <w:p>
            <w:pPr>
              <w:jc w:val="center"/>
              <w:rPr>
                <w:bCs/>
                <w:color w:val="auto"/>
                <w:sz w:val="18"/>
                <w:szCs w:val="18"/>
              </w:rPr>
            </w:pPr>
            <w:r>
              <w:rPr>
                <w:bCs/>
                <w:color w:val="auto"/>
                <w:sz w:val="18"/>
                <w:szCs w:val="18"/>
              </w:rPr>
              <w:t>累积筛余，按质量（%）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88" w:hRule="atLeast"/>
          <w:jc w:val="center"/>
        </w:trPr>
        <w:tc>
          <w:tcPr>
            <w:tcW w:w="1136" w:type="dxa"/>
            <w:vMerge w:val="continue"/>
            <w:tcBorders>
              <w:left w:val="single" w:color="auto" w:sz="4" w:space="0"/>
            </w:tcBorders>
            <w:vAlign w:val="center"/>
          </w:tcPr>
          <w:p>
            <w:pPr>
              <w:jc w:val="center"/>
              <w:rPr>
                <w:bCs/>
                <w:color w:val="auto"/>
                <w:sz w:val="18"/>
                <w:szCs w:val="18"/>
              </w:rPr>
            </w:pPr>
          </w:p>
        </w:tc>
        <w:tc>
          <w:tcPr>
            <w:tcW w:w="7869" w:type="dxa"/>
            <w:gridSpan w:val="9"/>
            <w:vAlign w:val="center"/>
          </w:tcPr>
          <w:p>
            <w:pPr>
              <w:jc w:val="center"/>
              <w:rPr>
                <w:bCs/>
                <w:color w:val="auto"/>
                <w:sz w:val="18"/>
                <w:szCs w:val="18"/>
              </w:rPr>
            </w:pPr>
            <w:r>
              <w:rPr>
                <w:bCs/>
                <w:color w:val="auto"/>
                <w:sz w:val="18"/>
                <w:szCs w:val="18"/>
              </w:rPr>
              <w:t>筛孔边长尺寸（mm）</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22" w:hRule="atLeast"/>
          <w:jc w:val="center"/>
        </w:trPr>
        <w:tc>
          <w:tcPr>
            <w:tcW w:w="1136" w:type="dxa"/>
            <w:vMerge w:val="continue"/>
            <w:tcBorders>
              <w:left w:val="single" w:color="auto" w:sz="4" w:space="0"/>
            </w:tcBorders>
            <w:vAlign w:val="center"/>
          </w:tcPr>
          <w:p>
            <w:pPr>
              <w:jc w:val="center"/>
              <w:rPr>
                <w:bCs/>
                <w:color w:val="auto"/>
                <w:sz w:val="18"/>
                <w:szCs w:val="18"/>
              </w:rPr>
            </w:pPr>
          </w:p>
        </w:tc>
        <w:tc>
          <w:tcPr>
            <w:tcW w:w="1084" w:type="dxa"/>
            <w:vAlign w:val="center"/>
          </w:tcPr>
          <w:p>
            <w:pPr>
              <w:jc w:val="center"/>
              <w:rPr>
                <w:bCs/>
                <w:color w:val="auto"/>
                <w:sz w:val="18"/>
                <w:szCs w:val="18"/>
              </w:rPr>
            </w:pPr>
            <w:r>
              <w:rPr>
                <w:bCs/>
                <w:color w:val="auto"/>
                <w:sz w:val="18"/>
                <w:szCs w:val="18"/>
              </w:rPr>
              <w:t>2.36</w:t>
            </w:r>
          </w:p>
        </w:tc>
        <w:tc>
          <w:tcPr>
            <w:tcW w:w="1016" w:type="dxa"/>
            <w:vAlign w:val="center"/>
          </w:tcPr>
          <w:p>
            <w:pPr>
              <w:jc w:val="center"/>
              <w:rPr>
                <w:bCs/>
                <w:color w:val="auto"/>
                <w:sz w:val="18"/>
                <w:szCs w:val="18"/>
              </w:rPr>
            </w:pPr>
            <w:r>
              <w:rPr>
                <w:bCs/>
                <w:color w:val="auto"/>
                <w:sz w:val="18"/>
                <w:szCs w:val="18"/>
              </w:rPr>
              <w:t>4.75</w:t>
            </w:r>
          </w:p>
        </w:tc>
        <w:tc>
          <w:tcPr>
            <w:tcW w:w="1027" w:type="dxa"/>
            <w:vAlign w:val="center"/>
          </w:tcPr>
          <w:p>
            <w:pPr>
              <w:jc w:val="center"/>
              <w:rPr>
                <w:bCs/>
                <w:color w:val="auto"/>
                <w:sz w:val="18"/>
                <w:szCs w:val="18"/>
              </w:rPr>
            </w:pPr>
            <w:r>
              <w:rPr>
                <w:bCs/>
                <w:color w:val="auto"/>
                <w:sz w:val="18"/>
                <w:szCs w:val="18"/>
              </w:rPr>
              <w:t>9.5</w:t>
            </w:r>
          </w:p>
        </w:tc>
        <w:tc>
          <w:tcPr>
            <w:tcW w:w="854" w:type="dxa"/>
            <w:vAlign w:val="center"/>
          </w:tcPr>
          <w:p>
            <w:pPr>
              <w:jc w:val="center"/>
              <w:rPr>
                <w:bCs/>
                <w:color w:val="auto"/>
                <w:sz w:val="18"/>
                <w:szCs w:val="18"/>
              </w:rPr>
            </w:pPr>
            <w:r>
              <w:rPr>
                <w:bCs/>
                <w:color w:val="auto"/>
                <w:sz w:val="18"/>
                <w:szCs w:val="18"/>
              </w:rPr>
              <w:t>16.0</w:t>
            </w:r>
          </w:p>
        </w:tc>
        <w:tc>
          <w:tcPr>
            <w:tcW w:w="854" w:type="dxa"/>
            <w:vAlign w:val="center"/>
          </w:tcPr>
          <w:p>
            <w:pPr>
              <w:jc w:val="center"/>
              <w:rPr>
                <w:bCs/>
                <w:color w:val="auto"/>
                <w:sz w:val="18"/>
                <w:szCs w:val="18"/>
              </w:rPr>
            </w:pPr>
            <w:r>
              <w:rPr>
                <w:bCs/>
                <w:color w:val="auto"/>
                <w:sz w:val="18"/>
                <w:szCs w:val="18"/>
              </w:rPr>
              <w:t>19.0</w:t>
            </w:r>
          </w:p>
        </w:tc>
        <w:tc>
          <w:tcPr>
            <w:tcW w:w="832" w:type="dxa"/>
            <w:vAlign w:val="center"/>
          </w:tcPr>
          <w:p>
            <w:pPr>
              <w:jc w:val="center"/>
              <w:rPr>
                <w:bCs/>
                <w:color w:val="auto"/>
                <w:sz w:val="18"/>
                <w:szCs w:val="18"/>
              </w:rPr>
            </w:pPr>
            <w:r>
              <w:rPr>
                <w:bCs/>
                <w:color w:val="auto"/>
                <w:sz w:val="18"/>
                <w:szCs w:val="18"/>
              </w:rPr>
              <w:t>26.5</w:t>
            </w:r>
          </w:p>
        </w:tc>
        <w:tc>
          <w:tcPr>
            <w:tcW w:w="733" w:type="dxa"/>
            <w:vAlign w:val="center"/>
          </w:tcPr>
          <w:p>
            <w:pPr>
              <w:jc w:val="center"/>
              <w:rPr>
                <w:bCs/>
                <w:color w:val="auto"/>
                <w:sz w:val="18"/>
                <w:szCs w:val="18"/>
              </w:rPr>
            </w:pPr>
            <w:r>
              <w:rPr>
                <w:bCs/>
                <w:color w:val="auto"/>
                <w:sz w:val="18"/>
                <w:szCs w:val="18"/>
              </w:rPr>
              <w:t>31.5</w:t>
            </w:r>
          </w:p>
        </w:tc>
        <w:tc>
          <w:tcPr>
            <w:tcW w:w="734" w:type="dxa"/>
            <w:vAlign w:val="center"/>
          </w:tcPr>
          <w:p>
            <w:pPr>
              <w:jc w:val="center"/>
              <w:rPr>
                <w:bCs/>
                <w:color w:val="auto"/>
                <w:sz w:val="18"/>
                <w:szCs w:val="18"/>
              </w:rPr>
            </w:pPr>
            <w:r>
              <w:rPr>
                <w:bCs/>
                <w:color w:val="auto"/>
                <w:sz w:val="18"/>
                <w:szCs w:val="18"/>
              </w:rPr>
              <w:t>37.5</w:t>
            </w:r>
          </w:p>
        </w:tc>
        <w:tc>
          <w:tcPr>
            <w:tcW w:w="735" w:type="dxa"/>
            <w:vAlign w:val="center"/>
          </w:tcPr>
          <w:p>
            <w:pPr>
              <w:jc w:val="center"/>
              <w:rPr>
                <w:bCs/>
                <w:color w:val="auto"/>
                <w:sz w:val="18"/>
                <w:szCs w:val="18"/>
              </w:rPr>
            </w:pPr>
            <w:r>
              <w:rPr>
                <w:bCs/>
                <w:color w:val="auto"/>
                <w:sz w:val="18"/>
                <w:szCs w:val="18"/>
              </w:rPr>
              <w:t>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136" w:type="dxa"/>
            <w:tcBorders>
              <w:left w:val="single" w:color="auto" w:sz="4" w:space="0"/>
            </w:tcBorders>
            <w:vAlign w:val="center"/>
          </w:tcPr>
          <w:p>
            <w:pPr>
              <w:jc w:val="center"/>
              <w:rPr>
                <w:bCs/>
                <w:color w:val="auto"/>
                <w:sz w:val="18"/>
                <w:szCs w:val="18"/>
              </w:rPr>
            </w:pPr>
            <w:r>
              <w:rPr>
                <w:bCs/>
                <w:color w:val="auto"/>
                <w:sz w:val="18"/>
                <w:szCs w:val="18"/>
              </w:rPr>
              <w:t>5～10</w:t>
            </w:r>
          </w:p>
        </w:tc>
        <w:tc>
          <w:tcPr>
            <w:tcW w:w="1084" w:type="dxa"/>
            <w:vAlign w:val="center"/>
          </w:tcPr>
          <w:p>
            <w:pPr>
              <w:jc w:val="center"/>
              <w:rPr>
                <w:bCs/>
                <w:color w:val="auto"/>
                <w:sz w:val="18"/>
                <w:szCs w:val="18"/>
              </w:rPr>
            </w:pPr>
            <w:r>
              <w:rPr>
                <w:bCs/>
                <w:color w:val="auto"/>
                <w:sz w:val="18"/>
                <w:szCs w:val="18"/>
              </w:rPr>
              <w:t>95～100</w:t>
            </w:r>
          </w:p>
        </w:tc>
        <w:tc>
          <w:tcPr>
            <w:tcW w:w="1016" w:type="dxa"/>
            <w:vAlign w:val="center"/>
          </w:tcPr>
          <w:p>
            <w:pPr>
              <w:jc w:val="center"/>
              <w:rPr>
                <w:bCs/>
                <w:color w:val="auto"/>
                <w:sz w:val="18"/>
                <w:szCs w:val="18"/>
              </w:rPr>
            </w:pPr>
            <w:r>
              <w:rPr>
                <w:bCs/>
                <w:color w:val="auto"/>
                <w:sz w:val="18"/>
                <w:szCs w:val="18"/>
              </w:rPr>
              <w:t>80～100</w:t>
            </w:r>
          </w:p>
        </w:tc>
        <w:tc>
          <w:tcPr>
            <w:tcW w:w="1027" w:type="dxa"/>
            <w:vAlign w:val="center"/>
          </w:tcPr>
          <w:p>
            <w:pPr>
              <w:jc w:val="center"/>
              <w:rPr>
                <w:bCs/>
                <w:color w:val="auto"/>
                <w:sz w:val="18"/>
                <w:szCs w:val="18"/>
              </w:rPr>
            </w:pPr>
            <w:r>
              <w:rPr>
                <w:bCs/>
                <w:color w:val="auto"/>
                <w:sz w:val="18"/>
                <w:szCs w:val="18"/>
              </w:rPr>
              <w:t>0～15</w:t>
            </w:r>
          </w:p>
        </w:tc>
        <w:tc>
          <w:tcPr>
            <w:tcW w:w="854" w:type="dxa"/>
            <w:vAlign w:val="center"/>
          </w:tcPr>
          <w:p>
            <w:pPr>
              <w:jc w:val="center"/>
              <w:rPr>
                <w:bCs/>
                <w:color w:val="auto"/>
                <w:sz w:val="18"/>
                <w:szCs w:val="18"/>
              </w:rPr>
            </w:pPr>
            <w:r>
              <w:rPr>
                <w:bCs/>
                <w:color w:val="auto"/>
                <w:sz w:val="18"/>
                <w:szCs w:val="18"/>
              </w:rPr>
              <w:t>0</w:t>
            </w:r>
          </w:p>
        </w:tc>
        <w:tc>
          <w:tcPr>
            <w:tcW w:w="854" w:type="dxa"/>
            <w:vAlign w:val="center"/>
          </w:tcPr>
          <w:p>
            <w:pPr>
              <w:jc w:val="center"/>
              <w:rPr>
                <w:bCs/>
                <w:color w:val="auto"/>
                <w:sz w:val="18"/>
                <w:szCs w:val="18"/>
              </w:rPr>
            </w:pPr>
            <w:r>
              <w:rPr>
                <w:bCs/>
                <w:color w:val="auto"/>
                <w:sz w:val="18"/>
                <w:szCs w:val="18"/>
              </w:rPr>
              <w:t>－</w:t>
            </w:r>
          </w:p>
        </w:tc>
        <w:tc>
          <w:tcPr>
            <w:tcW w:w="832" w:type="dxa"/>
            <w:vAlign w:val="center"/>
          </w:tcPr>
          <w:p>
            <w:pPr>
              <w:jc w:val="center"/>
              <w:rPr>
                <w:bCs/>
                <w:color w:val="auto"/>
                <w:sz w:val="18"/>
                <w:szCs w:val="18"/>
              </w:rPr>
            </w:pPr>
            <w:r>
              <w:rPr>
                <w:bCs/>
                <w:color w:val="auto"/>
                <w:sz w:val="18"/>
                <w:szCs w:val="18"/>
              </w:rPr>
              <w:t>－</w:t>
            </w:r>
          </w:p>
        </w:tc>
        <w:tc>
          <w:tcPr>
            <w:tcW w:w="733" w:type="dxa"/>
            <w:vAlign w:val="center"/>
          </w:tcPr>
          <w:p>
            <w:pPr>
              <w:jc w:val="center"/>
              <w:rPr>
                <w:bCs/>
                <w:color w:val="auto"/>
                <w:sz w:val="18"/>
                <w:szCs w:val="18"/>
              </w:rPr>
            </w:pPr>
            <w:r>
              <w:rPr>
                <w:bCs/>
                <w:color w:val="auto"/>
                <w:sz w:val="18"/>
                <w:szCs w:val="18"/>
              </w:rPr>
              <w:t>－</w:t>
            </w:r>
          </w:p>
        </w:tc>
        <w:tc>
          <w:tcPr>
            <w:tcW w:w="734" w:type="dxa"/>
            <w:vAlign w:val="center"/>
          </w:tcPr>
          <w:p>
            <w:pPr>
              <w:jc w:val="center"/>
              <w:rPr>
                <w:bCs/>
                <w:color w:val="auto"/>
                <w:sz w:val="18"/>
                <w:szCs w:val="18"/>
              </w:rPr>
            </w:pPr>
            <w:r>
              <w:rPr>
                <w:bCs/>
                <w:color w:val="auto"/>
                <w:sz w:val="18"/>
                <w:szCs w:val="18"/>
              </w:rPr>
              <w:t>－</w:t>
            </w:r>
          </w:p>
        </w:tc>
        <w:tc>
          <w:tcPr>
            <w:tcW w:w="735" w:type="dxa"/>
            <w:vAlign w:val="center"/>
          </w:tcPr>
          <w:p>
            <w:pPr>
              <w:jc w:val="center"/>
              <w:rPr>
                <w:bCs/>
                <w:color w:val="auto"/>
                <w:sz w:val="18"/>
                <w:szCs w:val="18"/>
              </w:rPr>
            </w:pPr>
            <w:r>
              <w:rPr>
                <w:bCs/>
                <w:color w:val="auto"/>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136" w:type="dxa"/>
            <w:tcBorders>
              <w:left w:val="single" w:color="auto" w:sz="4" w:space="0"/>
            </w:tcBorders>
            <w:vAlign w:val="center"/>
          </w:tcPr>
          <w:p>
            <w:pPr>
              <w:jc w:val="center"/>
              <w:rPr>
                <w:bCs/>
                <w:color w:val="auto"/>
                <w:sz w:val="18"/>
                <w:szCs w:val="18"/>
              </w:rPr>
            </w:pPr>
            <w:r>
              <w:rPr>
                <w:bCs/>
                <w:color w:val="auto"/>
                <w:sz w:val="18"/>
                <w:szCs w:val="18"/>
              </w:rPr>
              <w:t>5～16</w:t>
            </w:r>
          </w:p>
        </w:tc>
        <w:tc>
          <w:tcPr>
            <w:tcW w:w="1084" w:type="dxa"/>
            <w:vAlign w:val="center"/>
          </w:tcPr>
          <w:p>
            <w:pPr>
              <w:jc w:val="center"/>
              <w:rPr>
                <w:bCs/>
                <w:color w:val="auto"/>
                <w:sz w:val="18"/>
                <w:szCs w:val="18"/>
              </w:rPr>
            </w:pPr>
            <w:r>
              <w:rPr>
                <w:bCs/>
                <w:color w:val="auto"/>
                <w:sz w:val="18"/>
                <w:szCs w:val="18"/>
              </w:rPr>
              <w:t>95～100</w:t>
            </w:r>
          </w:p>
        </w:tc>
        <w:tc>
          <w:tcPr>
            <w:tcW w:w="1016" w:type="dxa"/>
            <w:vAlign w:val="center"/>
          </w:tcPr>
          <w:p>
            <w:pPr>
              <w:jc w:val="center"/>
              <w:rPr>
                <w:bCs/>
                <w:color w:val="auto"/>
                <w:sz w:val="18"/>
                <w:szCs w:val="18"/>
              </w:rPr>
            </w:pPr>
            <w:r>
              <w:rPr>
                <w:bCs/>
                <w:color w:val="auto"/>
                <w:sz w:val="18"/>
                <w:szCs w:val="18"/>
              </w:rPr>
              <w:t>85～100</w:t>
            </w:r>
          </w:p>
        </w:tc>
        <w:tc>
          <w:tcPr>
            <w:tcW w:w="1027" w:type="dxa"/>
            <w:vAlign w:val="center"/>
          </w:tcPr>
          <w:p>
            <w:pPr>
              <w:jc w:val="center"/>
              <w:rPr>
                <w:bCs/>
                <w:color w:val="auto"/>
                <w:sz w:val="18"/>
                <w:szCs w:val="18"/>
              </w:rPr>
            </w:pPr>
            <w:r>
              <w:rPr>
                <w:bCs/>
                <w:color w:val="auto"/>
                <w:sz w:val="18"/>
                <w:szCs w:val="18"/>
              </w:rPr>
              <w:t>30～60</w:t>
            </w:r>
          </w:p>
        </w:tc>
        <w:tc>
          <w:tcPr>
            <w:tcW w:w="854" w:type="dxa"/>
            <w:vAlign w:val="center"/>
          </w:tcPr>
          <w:p>
            <w:pPr>
              <w:jc w:val="center"/>
              <w:rPr>
                <w:bCs/>
                <w:color w:val="auto"/>
                <w:sz w:val="18"/>
                <w:szCs w:val="18"/>
              </w:rPr>
            </w:pPr>
            <w:r>
              <w:rPr>
                <w:bCs/>
                <w:color w:val="auto"/>
                <w:sz w:val="18"/>
                <w:szCs w:val="18"/>
              </w:rPr>
              <w:t>0～10</w:t>
            </w:r>
          </w:p>
        </w:tc>
        <w:tc>
          <w:tcPr>
            <w:tcW w:w="854" w:type="dxa"/>
            <w:vAlign w:val="center"/>
          </w:tcPr>
          <w:p>
            <w:pPr>
              <w:jc w:val="center"/>
              <w:rPr>
                <w:bCs/>
                <w:color w:val="auto"/>
                <w:sz w:val="18"/>
                <w:szCs w:val="18"/>
              </w:rPr>
            </w:pPr>
            <w:r>
              <w:rPr>
                <w:bCs/>
                <w:color w:val="auto"/>
                <w:sz w:val="18"/>
                <w:szCs w:val="18"/>
              </w:rPr>
              <w:t>0</w:t>
            </w:r>
          </w:p>
        </w:tc>
        <w:tc>
          <w:tcPr>
            <w:tcW w:w="832" w:type="dxa"/>
            <w:vAlign w:val="center"/>
          </w:tcPr>
          <w:p>
            <w:pPr>
              <w:jc w:val="center"/>
              <w:rPr>
                <w:bCs/>
                <w:color w:val="auto"/>
                <w:sz w:val="18"/>
                <w:szCs w:val="18"/>
              </w:rPr>
            </w:pPr>
            <w:r>
              <w:rPr>
                <w:bCs/>
                <w:color w:val="auto"/>
                <w:sz w:val="18"/>
                <w:szCs w:val="18"/>
              </w:rPr>
              <w:t>－</w:t>
            </w:r>
          </w:p>
        </w:tc>
        <w:tc>
          <w:tcPr>
            <w:tcW w:w="733" w:type="dxa"/>
            <w:vAlign w:val="center"/>
          </w:tcPr>
          <w:p>
            <w:pPr>
              <w:jc w:val="center"/>
              <w:rPr>
                <w:bCs/>
                <w:color w:val="auto"/>
                <w:sz w:val="18"/>
                <w:szCs w:val="18"/>
              </w:rPr>
            </w:pPr>
            <w:r>
              <w:rPr>
                <w:bCs/>
                <w:color w:val="auto"/>
                <w:sz w:val="18"/>
                <w:szCs w:val="18"/>
              </w:rPr>
              <w:t>－</w:t>
            </w:r>
          </w:p>
        </w:tc>
        <w:tc>
          <w:tcPr>
            <w:tcW w:w="734" w:type="dxa"/>
            <w:vAlign w:val="center"/>
          </w:tcPr>
          <w:p>
            <w:pPr>
              <w:jc w:val="center"/>
              <w:rPr>
                <w:bCs/>
                <w:color w:val="auto"/>
                <w:sz w:val="18"/>
                <w:szCs w:val="18"/>
              </w:rPr>
            </w:pPr>
            <w:r>
              <w:rPr>
                <w:bCs/>
                <w:color w:val="auto"/>
                <w:sz w:val="18"/>
                <w:szCs w:val="18"/>
              </w:rPr>
              <w:t>－</w:t>
            </w:r>
          </w:p>
        </w:tc>
        <w:tc>
          <w:tcPr>
            <w:tcW w:w="735" w:type="dxa"/>
            <w:vAlign w:val="center"/>
          </w:tcPr>
          <w:p>
            <w:pPr>
              <w:jc w:val="center"/>
              <w:rPr>
                <w:bCs/>
                <w:color w:val="auto"/>
                <w:sz w:val="18"/>
                <w:szCs w:val="18"/>
              </w:rPr>
            </w:pPr>
            <w:r>
              <w:rPr>
                <w:bCs/>
                <w:color w:val="auto"/>
                <w:sz w:val="18"/>
                <w:szCs w:val="18"/>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397" w:hRule="atLeast"/>
          <w:jc w:val="center"/>
        </w:trPr>
        <w:tc>
          <w:tcPr>
            <w:tcW w:w="1136" w:type="dxa"/>
            <w:tcBorders>
              <w:left w:val="single" w:color="auto" w:sz="4" w:space="0"/>
            </w:tcBorders>
            <w:vAlign w:val="center"/>
          </w:tcPr>
          <w:p>
            <w:pPr>
              <w:jc w:val="center"/>
              <w:rPr>
                <w:bCs/>
                <w:color w:val="auto"/>
                <w:sz w:val="18"/>
                <w:szCs w:val="18"/>
              </w:rPr>
            </w:pPr>
            <w:r>
              <w:rPr>
                <w:bCs/>
                <w:color w:val="auto"/>
                <w:sz w:val="18"/>
                <w:szCs w:val="18"/>
              </w:rPr>
              <w:t>5～20</w:t>
            </w:r>
          </w:p>
        </w:tc>
        <w:tc>
          <w:tcPr>
            <w:tcW w:w="1084" w:type="dxa"/>
            <w:vAlign w:val="center"/>
          </w:tcPr>
          <w:p>
            <w:pPr>
              <w:jc w:val="center"/>
              <w:rPr>
                <w:bCs/>
                <w:color w:val="auto"/>
                <w:sz w:val="18"/>
                <w:szCs w:val="18"/>
              </w:rPr>
            </w:pPr>
            <w:r>
              <w:rPr>
                <w:bCs/>
                <w:color w:val="auto"/>
                <w:sz w:val="18"/>
                <w:szCs w:val="18"/>
              </w:rPr>
              <w:t>95～100</w:t>
            </w:r>
          </w:p>
        </w:tc>
        <w:tc>
          <w:tcPr>
            <w:tcW w:w="1016" w:type="dxa"/>
            <w:vAlign w:val="center"/>
          </w:tcPr>
          <w:p>
            <w:pPr>
              <w:jc w:val="center"/>
              <w:rPr>
                <w:bCs/>
                <w:color w:val="auto"/>
                <w:sz w:val="18"/>
                <w:szCs w:val="18"/>
              </w:rPr>
            </w:pPr>
            <w:r>
              <w:rPr>
                <w:bCs/>
                <w:color w:val="auto"/>
                <w:sz w:val="18"/>
                <w:szCs w:val="18"/>
              </w:rPr>
              <w:t>90～100</w:t>
            </w:r>
          </w:p>
        </w:tc>
        <w:tc>
          <w:tcPr>
            <w:tcW w:w="1027" w:type="dxa"/>
            <w:vAlign w:val="center"/>
          </w:tcPr>
          <w:p>
            <w:pPr>
              <w:jc w:val="center"/>
              <w:rPr>
                <w:bCs/>
                <w:color w:val="auto"/>
                <w:sz w:val="18"/>
                <w:szCs w:val="18"/>
              </w:rPr>
            </w:pPr>
            <w:r>
              <w:rPr>
                <w:bCs/>
                <w:color w:val="auto"/>
                <w:sz w:val="18"/>
                <w:szCs w:val="18"/>
              </w:rPr>
              <w:t>40～80</w:t>
            </w:r>
          </w:p>
        </w:tc>
        <w:tc>
          <w:tcPr>
            <w:tcW w:w="854" w:type="dxa"/>
            <w:vAlign w:val="center"/>
          </w:tcPr>
          <w:p>
            <w:pPr>
              <w:jc w:val="center"/>
              <w:rPr>
                <w:bCs/>
                <w:color w:val="auto"/>
                <w:sz w:val="18"/>
                <w:szCs w:val="18"/>
              </w:rPr>
            </w:pPr>
            <w:r>
              <w:rPr>
                <w:bCs/>
                <w:color w:val="auto"/>
                <w:sz w:val="18"/>
                <w:szCs w:val="18"/>
              </w:rPr>
              <w:t>－</w:t>
            </w:r>
          </w:p>
        </w:tc>
        <w:tc>
          <w:tcPr>
            <w:tcW w:w="854" w:type="dxa"/>
            <w:vAlign w:val="center"/>
          </w:tcPr>
          <w:p>
            <w:pPr>
              <w:jc w:val="center"/>
              <w:rPr>
                <w:bCs/>
                <w:color w:val="auto"/>
                <w:sz w:val="18"/>
                <w:szCs w:val="18"/>
              </w:rPr>
            </w:pPr>
            <w:r>
              <w:rPr>
                <w:bCs/>
                <w:color w:val="auto"/>
                <w:sz w:val="18"/>
                <w:szCs w:val="18"/>
              </w:rPr>
              <w:t>0～10</w:t>
            </w:r>
          </w:p>
        </w:tc>
        <w:tc>
          <w:tcPr>
            <w:tcW w:w="832" w:type="dxa"/>
            <w:vAlign w:val="center"/>
          </w:tcPr>
          <w:p>
            <w:pPr>
              <w:jc w:val="center"/>
              <w:rPr>
                <w:bCs/>
                <w:color w:val="auto"/>
                <w:sz w:val="18"/>
                <w:szCs w:val="18"/>
              </w:rPr>
            </w:pPr>
            <w:r>
              <w:rPr>
                <w:bCs/>
                <w:color w:val="auto"/>
                <w:sz w:val="18"/>
                <w:szCs w:val="18"/>
              </w:rPr>
              <w:t>0</w:t>
            </w:r>
          </w:p>
        </w:tc>
        <w:tc>
          <w:tcPr>
            <w:tcW w:w="733" w:type="dxa"/>
            <w:vAlign w:val="center"/>
          </w:tcPr>
          <w:p>
            <w:pPr>
              <w:jc w:val="center"/>
              <w:rPr>
                <w:bCs/>
                <w:color w:val="auto"/>
                <w:sz w:val="18"/>
                <w:szCs w:val="18"/>
              </w:rPr>
            </w:pPr>
            <w:r>
              <w:rPr>
                <w:bCs/>
                <w:color w:val="auto"/>
                <w:sz w:val="18"/>
                <w:szCs w:val="18"/>
              </w:rPr>
              <w:t>－</w:t>
            </w:r>
          </w:p>
        </w:tc>
        <w:tc>
          <w:tcPr>
            <w:tcW w:w="734" w:type="dxa"/>
            <w:vAlign w:val="center"/>
          </w:tcPr>
          <w:p>
            <w:pPr>
              <w:jc w:val="center"/>
              <w:rPr>
                <w:bCs/>
                <w:color w:val="auto"/>
                <w:sz w:val="18"/>
                <w:szCs w:val="18"/>
              </w:rPr>
            </w:pPr>
            <w:r>
              <w:rPr>
                <w:bCs/>
                <w:color w:val="auto"/>
                <w:sz w:val="18"/>
                <w:szCs w:val="18"/>
              </w:rPr>
              <w:t>－</w:t>
            </w:r>
          </w:p>
        </w:tc>
        <w:tc>
          <w:tcPr>
            <w:tcW w:w="735" w:type="dxa"/>
            <w:vAlign w:val="center"/>
          </w:tcPr>
          <w:p>
            <w:pPr>
              <w:jc w:val="center"/>
              <w:rPr>
                <w:bCs/>
                <w:color w:val="auto"/>
                <w:sz w:val="18"/>
                <w:szCs w:val="18"/>
              </w:rPr>
            </w:pPr>
            <w:r>
              <w:rPr>
                <w:bCs/>
                <w:color w:val="auto"/>
                <w:sz w:val="18"/>
                <w:szCs w:val="18"/>
              </w:rPr>
              <w:t>－</w:t>
            </w:r>
          </w:p>
        </w:tc>
      </w:tr>
    </w:tbl>
    <w:p>
      <w:pPr>
        <w:ind w:firstLine="482" w:firstLineChars="200"/>
        <w:rPr>
          <w:color w:val="auto"/>
        </w:rPr>
      </w:pPr>
      <w:r>
        <w:rPr>
          <w:rFonts w:eastAsia="黑体"/>
          <w:b/>
          <w:bCs/>
          <w:color w:val="auto"/>
        </w:rPr>
        <w:t xml:space="preserve">3 </w:t>
      </w:r>
      <w:r>
        <w:rPr>
          <w:snapToGrid w:val="0"/>
          <w:color w:val="auto"/>
          <w:szCs w:val="24"/>
        </w:rPr>
        <w:t>粗骨料的压碎指标值应符合表4.2.2-2的规定。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表4.2.2-2  粗骨料的压碎指标值（%）</w:t>
      </w:r>
    </w:p>
    <w:tbl>
      <w:tblPr>
        <w:tblStyle w:val="44"/>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900"/>
        <w:gridCol w:w="1430"/>
        <w:gridCol w:w="1520"/>
        <w:gridCol w:w="1050"/>
        <w:gridCol w:w="1500"/>
        <w:gridCol w:w="1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119" w:type="dxa"/>
            <w:vAlign w:val="center"/>
          </w:tcPr>
          <w:p>
            <w:pPr>
              <w:adjustRightInd w:val="0"/>
              <w:snapToGrid w:val="0"/>
              <w:jc w:val="center"/>
              <w:rPr>
                <w:color w:val="auto"/>
                <w:sz w:val="18"/>
                <w:szCs w:val="18"/>
              </w:rPr>
            </w:pPr>
            <w:r>
              <w:rPr>
                <w:color w:val="auto"/>
                <w:sz w:val="18"/>
                <w:szCs w:val="18"/>
              </w:rPr>
              <w:t>混凝土</w:t>
            </w:r>
          </w:p>
          <w:p>
            <w:pPr>
              <w:adjustRightInd w:val="0"/>
              <w:snapToGrid w:val="0"/>
              <w:jc w:val="center"/>
              <w:rPr>
                <w:color w:val="auto"/>
                <w:sz w:val="18"/>
                <w:szCs w:val="18"/>
              </w:rPr>
            </w:pPr>
            <w:r>
              <w:rPr>
                <w:color w:val="auto"/>
                <w:sz w:val="18"/>
                <w:szCs w:val="18"/>
              </w:rPr>
              <w:t>强度等级</w:t>
            </w:r>
          </w:p>
        </w:tc>
        <w:tc>
          <w:tcPr>
            <w:tcW w:w="3850" w:type="dxa"/>
            <w:gridSpan w:val="3"/>
            <w:vAlign w:val="center"/>
          </w:tcPr>
          <w:p>
            <w:pPr>
              <w:ind w:right="29" w:rightChars="12"/>
              <w:jc w:val="center"/>
              <w:rPr>
                <w:color w:val="auto"/>
                <w:sz w:val="18"/>
                <w:szCs w:val="18"/>
              </w:rPr>
            </w:pPr>
            <w:r>
              <w:rPr>
                <w:color w:val="auto"/>
                <w:sz w:val="18"/>
                <w:szCs w:val="18"/>
              </w:rPr>
              <w:t>＜C30</w:t>
            </w:r>
          </w:p>
        </w:tc>
        <w:tc>
          <w:tcPr>
            <w:tcW w:w="4050" w:type="dxa"/>
            <w:gridSpan w:val="3"/>
            <w:vAlign w:val="center"/>
          </w:tcPr>
          <w:p>
            <w:pPr>
              <w:ind w:right="29" w:rightChars="12"/>
              <w:jc w:val="center"/>
              <w:rPr>
                <w:color w:val="auto"/>
                <w:sz w:val="18"/>
                <w:szCs w:val="18"/>
              </w:rPr>
            </w:pPr>
            <w:r>
              <w:rPr>
                <w:color w:val="auto"/>
                <w:sz w:val="18"/>
                <w:szCs w:val="18"/>
              </w:rPr>
              <w:t>≥C30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119" w:type="dxa"/>
            <w:vAlign w:val="center"/>
          </w:tcPr>
          <w:p>
            <w:pPr>
              <w:adjustRightInd w:val="0"/>
              <w:snapToGrid w:val="0"/>
              <w:jc w:val="center"/>
              <w:rPr>
                <w:color w:val="auto"/>
                <w:kern w:val="0"/>
                <w:sz w:val="18"/>
                <w:szCs w:val="18"/>
              </w:rPr>
            </w:pPr>
            <w:r>
              <w:rPr>
                <w:color w:val="auto"/>
                <w:kern w:val="0"/>
                <w:sz w:val="18"/>
                <w:szCs w:val="18"/>
              </w:rPr>
              <w:t>岩石种类</w:t>
            </w:r>
          </w:p>
        </w:tc>
        <w:tc>
          <w:tcPr>
            <w:tcW w:w="900" w:type="dxa"/>
            <w:vAlign w:val="center"/>
          </w:tcPr>
          <w:p>
            <w:pPr>
              <w:jc w:val="center"/>
              <w:rPr>
                <w:color w:val="auto"/>
                <w:sz w:val="18"/>
                <w:szCs w:val="18"/>
              </w:rPr>
            </w:pPr>
            <w:r>
              <w:rPr>
                <w:color w:val="auto"/>
                <w:sz w:val="18"/>
                <w:szCs w:val="18"/>
              </w:rPr>
              <w:t>沉积岩</w:t>
            </w:r>
          </w:p>
        </w:tc>
        <w:tc>
          <w:tcPr>
            <w:tcW w:w="1430" w:type="dxa"/>
            <w:vAlign w:val="center"/>
          </w:tcPr>
          <w:p>
            <w:pPr>
              <w:jc w:val="center"/>
              <w:rPr>
                <w:color w:val="auto"/>
                <w:sz w:val="18"/>
                <w:szCs w:val="18"/>
              </w:rPr>
            </w:pPr>
            <w:r>
              <w:rPr>
                <w:color w:val="auto"/>
                <w:sz w:val="18"/>
                <w:szCs w:val="18"/>
              </w:rPr>
              <w:t>变质岩或深成的火成岩</w:t>
            </w:r>
          </w:p>
        </w:tc>
        <w:tc>
          <w:tcPr>
            <w:tcW w:w="1520" w:type="dxa"/>
            <w:vAlign w:val="center"/>
          </w:tcPr>
          <w:p>
            <w:pPr>
              <w:jc w:val="center"/>
              <w:rPr>
                <w:color w:val="auto"/>
                <w:sz w:val="18"/>
                <w:szCs w:val="18"/>
              </w:rPr>
            </w:pPr>
            <w:r>
              <w:rPr>
                <w:color w:val="auto"/>
                <w:sz w:val="18"/>
                <w:szCs w:val="18"/>
              </w:rPr>
              <w:t>喷出的火成岩</w:t>
            </w:r>
          </w:p>
        </w:tc>
        <w:tc>
          <w:tcPr>
            <w:tcW w:w="1050" w:type="dxa"/>
            <w:vAlign w:val="center"/>
          </w:tcPr>
          <w:p>
            <w:pPr>
              <w:jc w:val="center"/>
              <w:rPr>
                <w:color w:val="auto"/>
                <w:sz w:val="18"/>
                <w:szCs w:val="18"/>
              </w:rPr>
            </w:pPr>
            <w:r>
              <w:rPr>
                <w:color w:val="auto"/>
                <w:sz w:val="18"/>
                <w:szCs w:val="18"/>
              </w:rPr>
              <w:t>沉积岩</w:t>
            </w:r>
          </w:p>
        </w:tc>
        <w:tc>
          <w:tcPr>
            <w:tcW w:w="1500" w:type="dxa"/>
            <w:vAlign w:val="center"/>
          </w:tcPr>
          <w:p>
            <w:pPr>
              <w:jc w:val="center"/>
              <w:rPr>
                <w:color w:val="auto"/>
                <w:sz w:val="18"/>
                <w:szCs w:val="18"/>
              </w:rPr>
            </w:pPr>
            <w:r>
              <w:rPr>
                <w:color w:val="auto"/>
                <w:sz w:val="18"/>
                <w:szCs w:val="18"/>
              </w:rPr>
              <w:t>变质岩或深成的火成岩</w:t>
            </w:r>
          </w:p>
        </w:tc>
        <w:tc>
          <w:tcPr>
            <w:tcW w:w="1500" w:type="dxa"/>
            <w:vAlign w:val="center"/>
          </w:tcPr>
          <w:p>
            <w:pPr>
              <w:rPr>
                <w:color w:val="auto"/>
                <w:sz w:val="18"/>
                <w:szCs w:val="18"/>
              </w:rPr>
            </w:pPr>
            <w:r>
              <w:rPr>
                <w:color w:val="auto"/>
                <w:sz w:val="18"/>
                <w:szCs w:val="18"/>
              </w:rPr>
              <w:t>喷出的火成岩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119" w:type="dxa"/>
            <w:vAlign w:val="center"/>
          </w:tcPr>
          <w:p>
            <w:pPr>
              <w:adjustRightInd w:val="0"/>
              <w:snapToGrid w:val="0"/>
              <w:jc w:val="center"/>
              <w:rPr>
                <w:color w:val="auto"/>
                <w:sz w:val="18"/>
                <w:szCs w:val="18"/>
              </w:rPr>
            </w:pPr>
            <w:r>
              <w:rPr>
                <w:color w:val="auto"/>
                <w:sz w:val="18"/>
                <w:szCs w:val="18"/>
              </w:rPr>
              <w:t>碎石</w:t>
            </w:r>
          </w:p>
        </w:tc>
        <w:tc>
          <w:tcPr>
            <w:tcW w:w="900" w:type="dxa"/>
            <w:vAlign w:val="center"/>
          </w:tcPr>
          <w:p>
            <w:pPr>
              <w:jc w:val="center"/>
              <w:rPr>
                <w:color w:val="auto"/>
                <w:sz w:val="18"/>
                <w:szCs w:val="18"/>
              </w:rPr>
            </w:pPr>
            <w:r>
              <w:rPr>
                <w:color w:val="auto"/>
                <w:sz w:val="18"/>
                <w:szCs w:val="18"/>
              </w:rPr>
              <w:t>≤16</w:t>
            </w:r>
          </w:p>
        </w:tc>
        <w:tc>
          <w:tcPr>
            <w:tcW w:w="1430" w:type="dxa"/>
            <w:vAlign w:val="center"/>
          </w:tcPr>
          <w:p>
            <w:pPr>
              <w:jc w:val="center"/>
              <w:rPr>
                <w:color w:val="auto"/>
                <w:sz w:val="18"/>
                <w:szCs w:val="18"/>
              </w:rPr>
            </w:pPr>
            <w:r>
              <w:rPr>
                <w:color w:val="auto"/>
                <w:sz w:val="18"/>
                <w:szCs w:val="18"/>
              </w:rPr>
              <w:t>≤20</w:t>
            </w:r>
          </w:p>
        </w:tc>
        <w:tc>
          <w:tcPr>
            <w:tcW w:w="1520" w:type="dxa"/>
            <w:vAlign w:val="center"/>
          </w:tcPr>
          <w:p>
            <w:pPr>
              <w:jc w:val="center"/>
              <w:rPr>
                <w:color w:val="auto"/>
                <w:sz w:val="18"/>
                <w:szCs w:val="18"/>
              </w:rPr>
            </w:pPr>
            <w:r>
              <w:rPr>
                <w:color w:val="auto"/>
                <w:sz w:val="18"/>
                <w:szCs w:val="18"/>
              </w:rPr>
              <w:t>≤30</w:t>
            </w:r>
          </w:p>
        </w:tc>
        <w:tc>
          <w:tcPr>
            <w:tcW w:w="1050" w:type="dxa"/>
            <w:vAlign w:val="center"/>
          </w:tcPr>
          <w:p>
            <w:pPr>
              <w:jc w:val="center"/>
              <w:rPr>
                <w:color w:val="auto"/>
                <w:sz w:val="18"/>
                <w:szCs w:val="18"/>
              </w:rPr>
            </w:pPr>
            <w:r>
              <w:rPr>
                <w:color w:val="auto"/>
                <w:sz w:val="18"/>
                <w:szCs w:val="18"/>
              </w:rPr>
              <w:t>≤10</w:t>
            </w:r>
          </w:p>
        </w:tc>
        <w:tc>
          <w:tcPr>
            <w:tcW w:w="1500" w:type="dxa"/>
            <w:vAlign w:val="center"/>
          </w:tcPr>
          <w:p>
            <w:pPr>
              <w:jc w:val="center"/>
              <w:rPr>
                <w:color w:val="auto"/>
                <w:sz w:val="18"/>
                <w:szCs w:val="18"/>
              </w:rPr>
            </w:pPr>
            <w:r>
              <w:rPr>
                <w:color w:val="auto"/>
                <w:sz w:val="18"/>
                <w:szCs w:val="18"/>
              </w:rPr>
              <w:t>≤12</w:t>
            </w:r>
          </w:p>
        </w:tc>
        <w:tc>
          <w:tcPr>
            <w:tcW w:w="1500" w:type="dxa"/>
            <w:vAlign w:val="center"/>
          </w:tcPr>
          <w:p>
            <w:pPr>
              <w:jc w:val="center"/>
              <w:rPr>
                <w:color w:val="auto"/>
                <w:sz w:val="18"/>
                <w:szCs w:val="18"/>
              </w:rPr>
            </w:pPr>
            <w:r>
              <w:rPr>
                <w:color w:val="auto"/>
                <w:sz w:val="18"/>
                <w:szCs w:val="18"/>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2" w:hRule="atLeast"/>
        </w:trPr>
        <w:tc>
          <w:tcPr>
            <w:tcW w:w="1119" w:type="dxa"/>
            <w:vAlign w:val="center"/>
          </w:tcPr>
          <w:p>
            <w:pPr>
              <w:adjustRightInd w:val="0"/>
              <w:snapToGrid w:val="0"/>
              <w:spacing w:line="400" w:lineRule="exact"/>
              <w:jc w:val="center"/>
              <w:rPr>
                <w:color w:val="auto"/>
                <w:sz w:val="18"/>
                <w:szCs w:val="18"/>
              </w:rPr>
            </w:pPr>
            <w:r>
              <w:rPr>
                <w:color w:val="auto"/>
                <w:sz w:val="18"/>
                <w:szCs w:val="18"/>
              </w:rPr>
              <w:t>卵石</w:t>
            </w:r>
          </w:p>
        </w:tc>
        <w:tc>
          <w:tcPr>
            <w:tcW w:w="3850" w:type="dxa"/>
            <w:gridSpan w:val="3"/>
            <w:vAlign w:val="center"/>
          </w:tcPr>
          <w:p>
            <w:pPr>
              <w:spacing w:line="400" w:lineRule="exact"/>
              <w:jc w:val="center"/>
              <w:rPr>
                <w:color w:val="auto"/>
                <w:sz w:val="18"/>
                <w:szCs w:val="18"/>
              </w:rPr>
            </w:pPr>
            <w:r>
              <w:rPr>
                <w:color w:val="auto"/>
                <w:sz w:val="18"/>
                <w:szCs w:val="18"/>
              </w:rPr>
              <w:t>≤16</w:t>
            </w:r>
          </w:p>
        </w:tc>
        <w:tc>
          <w:tcPr>
            <w:tcW w:w="4050" w:type="dxa"/>
            <w:gridSpan w:val="3"/>
            <w:vAlign w:val="center"/>
          </w:tcPr>
          <w:p>
            <w:pPr>
              <w:spacing w:line="400" w:lineRule="exact"/>
              <w:jc w:val="center"/>
              <w:rPr>
                <w:color w:val="auto"/>
                <w:sz w:val="18"/>
                <w:szCs w:val="18"/>
              </w:rPr>
            </w:pPr>
            <w:r>
              <w:rPr>
                <w:color w:val="auto"/>
                <w:sz w:val="18"/>
                <w:szCs w:val="18"/>
              </w:rPr>
              <w:t>≤12</w:t>
            </w:r>
          </w:p>
        </w:tc>
      </w:tr>
    </w:tbl>
    <w:p>
      <w:pPr>
        <w:spacing w:line="240" w:lineRule="auto"/>
        <w:ind w:left="974" w:leftChars="256" w:hanging="360" w:hangingChars="200"/>
        <w:rPr>
          <w:color w:val="auto"/>
          <w:sz w:val="18"/>
          <w:szCs w:val="18"/>
        </w:rPr>
      </w:pPr>
      <w:r>
        <w:rPr>
          <w:color w:val="auto"/>
          <w:sz w:val="18"/>
          <w:szCs w:val="18"/>
        </w:rPr>
        <w:t>注：沉积岩（水成岩）包括石灰岩、砂岩等，变质岩包括片麻岩、石英岩等，深成的火成岩包括花岗岩、正长岩、闪长岩和橄榄岩等，火成岩包括玄武岩和辉绿岩等。</w:t>
      </w:r>
    </w:p>
    <w:p>
      <w:pPr>
        <w:ind w:firstLine="482" w:firstLineChars="200"/>
        <w:rPr>
          <w:snapToGrid w:val="0"/>
          <w:color w:val="auto"/>
          <w:szCs w:val="24"/>
        </w:rPr>
      </w:pPr>
      <w:r>
        <w:rPr>
          <w:rFonts w:eastAsia="黑体"/>
          <w:b/>
          <w:bCs/>
          <w:color w:val="auto"/>
        </w:rPr>
        <w:t>4</w:t>
      </w:r>
      <w:r>
        <w:rPr>
          <w:snapToGrid w:val="0"/>
          <w:color w:val="auto"/>
          <w:szCs w:val="24"/>
        </w:rPr>
        <w:t>粗骨料的碱活性应先按《铁路混凝土》TB/T 3275对骨料的矿物组成和碱活性矿物类型进行</w:t>
      </w:r>
      <w:r>
        <w:rPr>
          <w:rFonts w:hint="eastAsia"/>
          <w:snapToGrid w:val="0"/>
          <w:color w:val="auto"/>
          <w:szCs w:val="24"/>
        </w:rPr>
        <w:t>鉴别和相关试验。</w:t>
      </w:r>
      <w:r>
        <w:rPr>
          <w:snapToGrid w:val="0"/>
          <w:color w:val="auto"/>
          <w:szCs w:val="24"/>
        </w:rPr>
        <w:t>碱活性</w:t>
      </w:r>
      <w:r>
        <w:rPr>
          <w:rFonts w:hint="eastAsia"/>
          <w:snapToGrid w:val="0"/>
          <w:color w:val="auto"/>
          <w:szCs w:val="24"/>
        </w:rPr>
        <w:t>可</w:t>
      </w:r>
      <w:r>
        <w:rPr>
          <w:snapToGrid w:val="0"/>
          <w:color w:val="auto"/>
          <w:szCs w:val="24"/>
        </w:rPr>
        <w:t>采用快速砂浆棒膨胀率进行检验，粗骨料的快速砂浆棒膨胀率应小于0.30%</w:t>
      </w:r>
      <w:r>
        <w:rPr>
          <w:rFonts w:hint="eastAsia"/>
          <w:snapToGrid w:val="0"/>
          <w:color w:val="auto"/>
          <w:szCs w:val="24"/>
        </w:rPr>
        <w:t>。不得使用具有碱—碳酸盐反应的粗骨料，其</w:t>
      </w:r>
      <w:r>
        <w:rPr>
          <w:snapToGrid w:val="0"/>
          <w:color w:val="auto"/>
          <w:szCs w:val="24"/>
        </w:rPr>
        <w:t>岩石柱膨胀率应小于0.10%。当使用碱性速凝剂时，不得使用含有活性二氧化硅的石料。</w:t>
      </w:r>
    </w:p>
    <w:p>
      <w:pPr>
        <w:ind w:firstLine="482" w:firstLineChars="200"/>
        <w:rPr>
          <w:color w:val="auto"/>
        </w:rPr>
      </w:pPr>
      <w:r>
        <w:rPr>
          <w:rFonts w:eastAsia="黑体"/>
          <w:b/>
          <w:bCs/>
          <w:color w:val="auto"/>
        </w:rPr>
        <w:t xml:space="preserve">5 </w:t>
      </w:r>
      <w:r>
        <w:rPr>
          <w:snapToGrid w:val="0"/>
          <w:color w:val="auto"/>
          <w:szCs w:val="24"/>
        </w:rPr>
        <w:t>冻融破坏环境和干湿交替环境下，粗骨料的吸水率不应大于1%。</w:t>
      </w:r>
    </w:p>
    <w:p>
      <w:pPr>
        <w:ind w:firstLine="482" w:firstLineChars="200"/>
        <w:rPr>
          <w:b/>
          <w:color w:val="auto"/>
        </w:rPr>
      </w:pPr>
      <w:r>
        <w:rPr>
          <w:rFonts w:eastAsia="黑体"/>
          <w:b/>
          <w:bCs/>
          <w:color w:val="auto"/>
        </w:rPr>
        <w:t>6</w:t>
      </w:r>
      <w:r>
        <w:rPr>
          <w:snapToGrid w:val="0"/>
          <w:color w:val="auto"/>
          <w:szCs w:val="24"/>
        </w:rPr>
        <w:t>粗骨料的其他性能应符合表4.2.2-3的规定。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表4.2.2-3  粗骨料的性能</w:t>
      </w:r>
    </w:p>
    <w:tbl>
      <w:tblPr>
        <w:tblStyle w:val="44"/>
        <w:tblW w:w="9181"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889"/>
        <w:gridCol w:w="2232"/>
        <w:gridCol w:w="1303"/>
        <w:gridCol w:w="1250"/>
        <w:gridCol w:w="1284"/>
        <w:gridCol w:w="222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tblHeader/>
          <w:jc w:val="center"/>
        </w:trPr>
        <w:tc>
          <w:tcPr>
            <w:tcW w:w="889" w:type="dxa"/>
            <w:vMerge w:val="restart"/>
            <w:tcBorders>
              <w:top w:val="single" w:color="auto" w:sz="8"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序号</w:t>
            </w:r>
          </w:p>
        </w:tc>
        <w:tc>
          <w:tcPr>
            <w:tcW w:w="2232" w:type="dxa"/>
            <w:vMerge w:val="restart"/>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检验项目</w:t>
            </w:r>
          </w:p>
        </w:tc>
        <w:tc>
          <w:tcPr>
            <w:tcW w:w="3837" w:type="dxa"/>
            <w:gridSpan w:val="3"/>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ind w:firstLine="360"/>
              <w:jc w:val="center"/>
              <w:rPr>
                <w:color w:val="auto"/>
                <w:kern w:val="0"/>
                <w:sz w:val="18"/>
                <w:szCs w:val="18"/>
              </w:rPr>
            </w:pPr>
            <w:r>
              <w:rPr>
                <w:color w:val="auto"/>
                <w:kern w:val="0"/>
                <w:sz w:val="18"/>
                <w:szCs w:val="18"/>
              </w:rPr>
              <w:t>技术要求</w:t>
            </w:r>
          </w:p>
        </w:tc>
        <w:tc>
          <w:tcPr>
            <w:tcW w:w="2223" w:type="dxa"/>
            <w:vMerge w:val="restart"/>
            <w:tcBorders>
              <w:top w:val="single" w:color="auto" w:sz="8"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40" w:hRule="atLeast"/>
          <w:tblHeader/>
          <w:jc w:val="center"/>
        </w:trPr>
        <w:tc>
          <w:tcPr>
            <w:tcW w:w="889"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2232"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rPr>
                <w:color w:val="auto"/>
                <w:kern w:val="0"/>
                <w:sz w:val="18"/>
                <w:szCs w:val="18"/>
              </w:rPr>
            </w:pPr>
          </w:p>
        </w:tc>
        <w:tc>
          <w:tcPr>
            <w:tcW w:w="1303"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＜C30</w:t>
            </w:r>
          </w:p>
        </w:tc>
        <w:tc>
          <w:tcPr>
            <w:tcW w:w="12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C30～C35</w:t>
            </w:r>
          </w:p>
        </w:tc>
        <w:tc>
          <w:tcPr>
            <w:tcW w:w="1284"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≥C40</w:t>
            </w:r>
          </w:p>
        </w:tc>
        <w:tc>
          <w:tcPr>
            <w:tcW w:w="2223" w:type="dxa"/>
            <w:vMerge w:val="continue"/>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针片状颗粒总含量</w:t>
            </w:r>
          </w:p>
        </w:tc>
        <w:tc>
          <w:tcPr>
            <w:tcW w:w="1303"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≤10%</w:t>
            </w:r>
          </w:p>
        </w:tc>
        <w:tc>
          <w:tcPr>
            <w:tcW w:w="12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≤8%</w:t>
            </w:r>
          </w:p>
        </w:tc>
        <w:tc>
          <w:tcPr>
            <w:tcW w:w="1284"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≤5%</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含泥量</w:t>
            </w:r>
          </w:p>
        </w:tc>
        <w:tc>
          <w:tcPr>
            <w:tcW w:w="1303"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≤1.0%</w:t>
            </w:r>
          </w:p>
        </w:tc>
        <w:tc>
          <w:tcPr>
            <w:tcW w:w="125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≤1.0%</w:t>
            </w:r>
          </w:p>
        </w:tc>
        <w:tc>
          <w:tcPr>
            <w:tcW w:w="1284"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≤0.5%</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泥块含量</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≤0.2%</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4</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岩石抗压强度（碎石）</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大于或等于1.5倍混凝土抗压强度等级</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吸水率</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sz w:val="18"/>
                <w:szCs w:val="18"/>
              </w:rPr>
              <w:t>≤2.0%（冻融破坏环境下≤1.0%）</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6</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紧密空隙率</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40%</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w:t>
            </w:r>
          </w:p>
        </w:tc>
        <w:tc>
          <w:tcPr>
            <w:tcW w:w="2232"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坚固性</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≤8%</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298"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2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kern w:val="0"/>
                <w:sz w:val="18"/>
                <w:szCs w:val="18"/>
              </w:rPr>
            </w:pPr>
            <w:r>
              <w:rPr>
                <w:color w:val="auto"/>
                <w:kern w:val="0"/>
                <w:sz w:val="18"/>
                <w:szCs w:val="18"/>
              </w:rPr>
              <w:t>硫化物及硫酸盐含量</w:t>
            </w:r>
          </w:p>
          <w:p>
            <w:pPr>
              <w:adjustRightInd w:val="0"/>
              <w:snapToGrid w:val="0"/>
              <w:jc w:val="center"/>
              <w:rPr>
                <w:color w:val="auto"/>
                <w:kern w:val="0"/>
                <w:sz w:val="18"/>
                <w:szCs w:val="18"/>
              </w:rPr>
            </w:pPr>
            <w:r>
              <w:rPr>
                <w:color w:val="auto"/>
                <w:kern w:val="0"/>
                <w:sz w:val="18"/>
                <w:szCs w:val="18"/>
              </w:rPr>
              <w:t>（以SO</w:t>
            </w:r>
            <w:r>
              <w:rPr>
                <w:color w:val="auto"/>
                <w:kern w:val="0"/>
                <w:sz w:val="18"/>
                <w:szCs w:val="18"/>
                <w:vertAlign w:val="subscript"/>
              </w:rPr>
              <w:t>3</w:t>
            </w:r>
            <w:r>
              <w:rPr>
                <w:color w:val="auto"/>
                <w:kern w:val="0"/>
                <w:sz w:val="18"/>
                <w:szCs w:val="18"/>
              </w:rPr>
              <w:t>计）</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≤0.5%</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9</w:t>
            </w:r>
          </w:p>
        </w:tc>
        <w:tc>
          <w:tcPr>
            <w:tcW w:w="2232"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color w:val="auto"/>
                <w:kern w:val="0"/>
                <w:sz w:val="18"/>
                <w:szCs w:val="18"/>
              </w:rPr>
            </w:pPr>
            <w:r>
              <w:rPr>
                <w:color w:val="auto"/>
                <w:kern w:val="0"/>
                <w:sz w:val="18"/>
                <w:szCs w:val="18"/>
              </w:rPr>
              <w:t>氯化物含量（以Cl</w:t>
            </w:r>
            <w:r>
              <w:rPr>
                <w:color w:val="auto"/>
                <w:kern w:val="0"/>
                <w:sz w:val="18"/>
                <w:szCs w:val="18"/>
                <w:vertAlign w:val="superscript"/>
              </w:rPr>
              <w:t xml:space="preserve">- </w:t>
            </w:r>
            <w:r>
              <w:rPr>
                <w:color w:val="auto"/>
                <w:kern w:val="0"/>
                <w:sz w:val="18"/>
                <w:szCs w:val="18"/>
              </w:rPr>
              <w:t>计）</w:t>
            </w:r>
          </w:p>
        </w:tc>
        <w:tc>
          <w:tcPr>
            <w:tcW w:w="3837" w:type="dxa"/>
            <w:gridSpan w:val="3"/>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≤0.02%</w:t>
            </w:r>
          </w:p>
        </w:tc>
        <w:tc>
          <w:tcPr>
            <w:tcW w:w="2223" w:type="dxa"/>
            <w:tcBorders>
              <w:top w:val="single" w:color="auto" w:sz="4" w:space="0"/>
              <w:left w:val="single" w:color="auto" w:sz="4" w:space="0"/>
              <w:bottom w:val="single" w:color="auto" w:sz="4"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按TB/T 3275检验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0" w:hRule="atLeast"/>
          <w:jc w:val="center"/>
        </w:trPr>
        <w:tc>
          <w:tcPr>
            <w:tcW w:w="889" w:type="dxa"/>
            <w:tcBorders>
              <w:top w:val="single" w:color="auto" w:sz="4" w:space="0"/>
              <w:left w:val="single" w:color="auto" w:sz="8" w:space="0"/>
              <w:bottom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10</w:t>
            </w:r>
          </w:p>
        </w:tc>
        <w:tc>
          <w:tcPr>
            <w:tcW w:w="2232" w:type="dxa"/>
            <w:tcBorders>
              <w:top w:val="single" w:color="auto" w:sz="4" w:space="0"/>
              <w:left w:val="single" w:color="auto" w:sz="4" w:space="0"/>
              <w:bottom w:val="single" w:color="auto" w:sz="8"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有机物含量（卵石）</w:t>
            </w:r>
          </w:p>
        </w:tc>
        <w:tc>
          <w:tcPr>
            <w:tcW w:w="3837" w:type="dxa"/>
            <w:gridSpan w:val="3"/>
            <w:tcBorders>
              <w:top w:val="single" w:color="auto" w:sz="4" w:space="0"/>
              <w:left w:val="single" w:color="auto" w:sz="4" w:space="0"/>
              <w:bottom w:val="single" w:color="auto" w:sz="8"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浅于标准色</w:t>
            </w:r>
          </w:p>
        </w:tc>
        <w:tc>
          <w:tcPr>
            <w:tcW w:w="2223" w:type="dxa"/>
            <w:tcBorders>
              <w:top w:val="single" w:color="auto" w:sz="4" w:space="0"/>
              <w:left w:val="single" w:color="auto" w:sz="4" w:space="0"/>
              <w:bottom w:val="single" w:color="auto" w:sz="8" w:space="0"/>
              <w:right w:val="single" w:color="auto" w:sz="8" w:space="0"/>
            </w:tcBorders>
            <w:vAlign w:val="center"/>
          </w:tcPr>
          <w:p>
            <w:pPr>
              <w:tabs>
                <w:tab w:val="left" w:pos="3430"/>
              </w:tabs>
              <w:spacing w:line="240" w:lineRule="exact"/>
              <w:jc w:val="center"/>
              <w:rPr>
                <w:color w:val="auto"/>
                <w:kern w:val="0"/>
                <w:sz w:val="18"/>
                <w:szCs w:val="18"/>
              </w:rPr>
            </w:pPr>
            <w:r>
              <w:rPr>
                <w:color w:val="auto"/>
                <w:kern w:val="0"/>
                <w:sz w:val="18"/>
                <w:szCs w:val="18"/>
              </w:rPr>
              <w:t>按GB/T14685检验</w:t>
            </w:r>
          </w:p>
        </w:tc>
      </w:tr>
    </w:tbl>
    <w:p>
      <w:pPr>
        <w:tabs>
          <w:tab w:val="left" w:pos="3430"/>
        </w:tabs>
        <w:adjustRightInd w:val="0"/>
        <w:snapToGrid w:val="0"/>
        <w:ind w:firstLine="482" w:firstLineChars="200"/>
        <w:rPr>
          <w:b/>
          <w:bCs/>
          <w:color w:val="auto"/>
          <w:highlight w:val="yellow"/>
        </w:rPr>
      </w:pPr>
      <w:r>
        <w:rPr>
          <w:rFonts w:eastAsia="黑体"/>
          <w:b/>
          <w:bCs/>
          <w:color w:val="auto"/>
        </w:rPr>
        <w:t>7</w:t>
      </w:r>
      <w:r>
        <w:rPr>
          <w:snapToGrid w:val="0"/>
          <w:color w:val="auto"/>
          <w:szCs w:val="24"/>
        </w:rPr>
        <w:t>粗骨料的检验方法和检验数量应符合《铁路混凝土工程施工质量验收标准》TB 10424的规定。</w:t>
      </w:r>
    </w:p>
    <w:p>
      <w:pPr>
        <w:pStyle w:val="3"/>
        <w:keepNext/>
        <w:keepLines/>
        <w:spacing w:before="360" w:beforeLines="0" w:after="360" w:afterLines="0" w:line="400" w:lineRule="atLeast"/>
        <w:rPr>
          <w:rFonts w:eastAsia="黑体"/>
          <w:b w:val="0"/>
          <w:color w:val="auto"/>
          <w:sz w:val="24"/>
          <w:szCs w:val="24"/>
        </w:rPr>
      </w:pPr>
      <w:bookmarkStart w:id="14" w:name="_Toc1658232"/>
      <w:r>
        <w:rPr>
          <w:rFonts w:eastAsia="黑体"/>
          <w:b w:val="0"/>
          <w:color w:val="auto"/>
          <w:sz w:val="24"/>
          <w:szCs w:val="24"/>
        </w:rPr>
        <w:t>4.3 外加剂</w:t>
      </w:r>
      <w:bookmarkEnd w:id="14"/>
    </w:p>
    <w:p>
      <w:pPr>
        <w:pStyle w:val="48"/>
        <w:numPr>
          <w:ilvl w:val="0"/>
          <w:numId w:val="11"/>
        </w:numPr>
        <w:ind w:left="0" w:firstLine="0"/>
        <w:rPr>
          <w:color w:val="auto"/>
        </w:rPr>
      </w:pPr>
      <w:r>
        <w:rPr>
          <w:snapToGrid w:val="0"/>
          <w:color w:val="auto"/>
          <w:szCs w:val="24"/>
        </w:rPr>
        <w:t>外加剂应选用能明显提高混凝土耐久性能且品质稳定的产品。外加剂与原材料或外加剂与外加剂间应具有良好的适应性，外加剂的品种和掺量应经试验确定。</w:t>
      </w:r>
    </w:p>
    <w:p>
      <w:pPr>
        <w:pStyle w:val="48"/>
        <w:numPr>
          <w:ilvl w:val="0"/>
          <w:numId w:val="11"/>
        </w:numPr>
        <w:ind w:left="0" w:firstLine="0"/>
        <w:rPr>
          <w:color w:val="auto"/>
        </w:rPr>
      </w:pPr>
      <w:r>
        <w:rPr>
          <w:snapToGrid w:val="0"/>
          <w:color w:val="auto"/>
          <w:szCs w:val="24"/>
        </w:rPr>
        <w:t>减水剂的性能应符合表4.3.2-1的规定。减水剂的检验方法和检验数量应符合《铁路混凝土工程施工质量验收标准》TB 10424的规定。减水剂的匀质性应符合国家现行标准《混凝土外加剂》GB 8076的规定。当使用其他新型外加剂时，应事先按有关规定进行试验验证并经审定通过后方可采用。高强喷射混凝土宜选用减水率不低于25%的高性能减水剂。</w:t>
      </w:r>
    </w:p>
    <w:p>
      <w:pPr>
        <w:adjustRightInd w:val="0"/>
        <w:snapToGrid w:val="0"/>
        <w:spacing w:line="400" w:lineRule="exact"/>
        <w:jc w:val="center"/>
        <w:rPr>
          <w:rFonts w:eastAsia="黑体"/>
          <w:bCs/>
          <w:color w:val="auto"/>
          <w:sz w:val="21"/>
          <w:szCs w:val="21"/>
        </w:rPr>
      </w:pPr>
      <w:r>
        <w:rPr>
          <w:rFonts w:eastAsia="黑体"/>
          <w:bCs/>
          <w:color w:val="auto"/>
          <w:sz w:val="21"/>
          <w:szCs w:val="21"/>
        </w:rPr>
        <w:t>表4.3.2-1减水剂的性能</w:t>
      </w:r>
    </w:p>
    <w:tbl>
      <w:tblPr>
        <w:tblStyle w:val="44"/>
        <w:tblW w:w="9020"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569"/>
        <w:gridCol w:w="1383"/>
        <w:gridCol w:w="1450"/>
        <w:gridCol w:w="734"/>
        <w:gridCol w:w="950"/>
        <w:gridCol w:w="716"/>
        <w:gridCol w:w="634"/>
        <w:gridCol w:w="1050"/>
        <w:gridCol w:w="153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13"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序号</w:t>
            </w:r>
          </w:p>
        </w:tc>
        <w:tc>
          <w:tcPr>
            <w:tcW w:w="3567" w:type="dxa"/>
            <w:gridSpan w:val="3"/>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项目</w:t>
            </w:r>
          </w:p>
        </w:tc>
        <w:tc>
          <w:tcPr>
            <w:tcW w:w="3350" w:type="dxa"/>
            <w:gridSpan w:val="4"/>
            <w:vAlign w:val="center"/>
          </w:tcPr>
          <w:p>
            <w:pPr>
              <w:tabs>
                <w:tab w:val="left" w:pos="3430"/>
              </w:tabs>
              <w:spacing w:line="240" w:lineRule="exact"/>
              <w:jc w:val="center"/>
              <w:rPr>
                <w:color w:val="auto"/>
                <w:kern w:val="0"/>
                <w:sz w:val="18"/>
                <w:szCs w:val="18"/>
              </w:rPr>
            </w:pPr>
            <w:r>
              <w:rPr>
                <w:color w:val="auto"/>
                <w:kern w:val="0"/>
                <w:sz w:val="18"/>
                <w:szCs w:val="18"/>
              </w:rPr>
              <w:t>技术要求</w:t>
            </w:r>
          </w:p>
        </w:tc>
        <w:tc>
          <w:tcPr>
            <w:tcW w:w="1534" w:type="dxa"/>
            <w:vMerge w:val="restart"/>
            <w:vAlign w:val="center"/>
          </w:tcPr>
          <w:p>
            <w:pPr>
              <w:tabs>
                <w:tab w:val="left" w:pos="3430"/>
              </w:tabs>
              <w:spacing w:line="240" w:lineRule="exact"/>
              <w:jc w:val="center"/>
              <w:rPr>
                <w:color w:val="auto"/>
                <w:kern w:val="0"/>
                <w:sz w:val="18"/>
                <w:szCs w:val="18"/>
              </w:rPr>
            </w:pPr>
            <w:r>
              <w:rPr>
                <w:color w:val="auto"/>
                <w:kern w:val="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380"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3567" w:type="dxa"/>
            <w:gridSpan w:val="3"/>
            <w:vMerge w:val="continue"/>
            <w:vAlign w:val="center"/>
          </w:tcPr>
          <w:p>
            <w:pPr>
              <w:tabs>
                <w:tab w:val="left" w:pos="3430"/>
              </w:tabs>
              <w:adjustRightInd w:val="0"/>
              <w:snapToGrid w:val="0"/>
              <w:spacing w:line="240" w:lineRule="exact"/>
              <w:jc w:val="center"/>
              <w:rPr>
                <w:color w:val="auto"/>
                <w:kern w:val="0"/>
                <w:sz w:val="18"/>
                <w:szCs w:val="18"/>
              </w:rPr>
            </w:pP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早强型</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标准型</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缓凝型</w:t>
            </w:r>
          </w:p>
        </w:tc>
        <w:tc>
          <w:tcPr>
            <w:tcW w:w="1534" w:type="dxa"/>
            <w:vMerge w:val="continue"/>
            <w:vAlign w:val="center"/>
          </w:tcPr>
          <w:p>
            <w:pPr>
              <w:tabs>
                <w:tab w:val="left" w:pos="3430"/>
              </w:tabs>
              <w:spacing w:line="240" w:lineRule="exact"/>
              <w:jc w:val="center"/>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62"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w:t>
            </w:r>
          </w:p>
        </w:tc>
        <w:tc>
          <w:tcPr>
            <w:tcW w:w="3567" w:type="dxa"/>
            <w:gridSpan w:val="3"/>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含气量</w:t>
            </w:r>
          </w:p>
        </w:tc>
        <w:tc>
          <w:tcPr>
            <w:tcW w:w="1666" w:type="dxa"/>
            <w:gridSpan w:val="2"/>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3.0%</w:t>
            </w:r>
          </w:p>
        </w:tc>
        <w:tc>
          <w:tcPr>
            <w:tcW w:w="1684" w:type="dxa"/>
            <w:gridSpan w:val="2"/>
            <w:vAlign w:val="center"/>
          </w:tcPr>
          <w:p>
            <w:pPr>
              <w:tabs>
                <w:tab w:val="left" w:pos="3430"/>
              </w:tabs>
              <w:spacing w:line="240" w:lineRule="exact"/>
              <w:jc w:val="center"/>
              <w:rPr>
                <w:color w:val="auto"/>
                <w:kern w:val="0"/>
                <w:sz w:val="18"/>
                <w:szCs w:val="18"/>
              </w:rPr>
            </w:pPr>
            <w:r>
              <w:rPr>
                <w:color w:val="auto"/>
                <w:kern w:val="0"/>
                <w:sz w:val="18"/>
                <w:szCs w:val="18"/>
              </w:rPr>
              <w:t>3.0%～6.0%</w:t>
            </w:r>
          </w:p>
        </w:tc>
        <w:tc>
          <w:tcPr>
            <w:tcW w:w="15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520"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含气量</w:t>
            </w:r>
          </w:p>
          <w:p>
            <w:pPr>
              <w:tabs>
                <w:tab w:val="left" w:pos="3430"/>
              </w:tabs>
              <w:adjustRightInd w:val="0"/>
              <w:snapToGrid w:val="0"/>
              <w:spacing w:line="240" w:lineRule="exact"/>
              <w:jc w:val="center"/>
              <w:rPr>
                <w:color w:val="auto"/>
                <w:kern w:val="0"/>
                <w:sz w:val="18"/>
                <w:szCs w:val="18"/>
              </w:rPr>
            </w:pPr>
            <w:r>
              <w:rPr>
                <w:color w:val="auto"/>
                <w:kern w:val="0"/>
                <w:sz w:val="18"/>
                <w:szCs w:val="18"/>
              </w:rPr>
              <w:t>经时变化量</w:t>
            </w: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1h</w:t>
            </w:r>
          </w:p>
        </w:tc>
        <w:tc>
          <w:tcPr>
            <w:tcW w:w="1666" w:type="dxa"/>
            <w:gridSpan w:val="2"/>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684" w:type="dxa"/>
            <w:gridSpan w:val="2"/>
            <w:vAlign w:val="center"/>
          </w:tcPr>
          <w:p>
            <w:pPr>
              <w:tabs>
                <w:tab w:val="left" w:pos="3430"/>
              </w:tabs>
              <w:spacing w:line="240" w:lineRule="exact"/>
              <w:rPr>
                <w:color w:val="auto"/>
                <w:kern w:val="0"/>
                <w:sz w:val="18"/>
                <w:szCs w:val="18"/>
              </w:rPr>
            </w:pPr>
            <w:r>
              <w:rPr>
                <w:color w:val="auto"/>
                <w:kern w:val="0"/>
                <w:sz w:val="18"/>
                <w:szCs w:val="18"/>
              </w:rPr>
              <w:t>-1.5～+1.5%</w:t>
            </w:r>
          </w:p>
        </w:tc>
        <w:tc>
          <w:tcPr>
            <w:tcW w:w="15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4"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减水率</w:t>
            </w: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3350" w:type="dxa"/>
            <w:gridSpan w:val="4"/>
            <w:vAlign w:val="center"/>
          </w:tcPr>
          <w:p>
            <w:pPr>
              <w:tabs>
                <w:tab w:val="left" w:pos="3430"/>
              </w:tabs>
              <w:spacing w:line="240" w:lineRule="exact"/>
              <w:jc w:val="center"/>
              <w:rPr>
                <w:color w:val="auto"/>
                <w:kern w:val="0"/>
                <w:sz w:val="18"/>
                <w:szCs w:val="18"/>
              </w:rPr>
            </w:pPr>
            <w:r>
              <w:rPr>
                <w:color w:val="auto"/>
                <w:kern w:val="0"/>
                <w:sz w:val="18"/>
                <w:szCs w:val="18"/>
              </w:rPr>
              <w:t>≥20%</w:t>
            </w:r>
          </w:p>
        </w:tc>
        <w:tc>
          <w:tcPr>
            <w:tcW w:w="15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adjustRightInd w:val="0"/>
              <w:snapToGrid w:val="0"/>
              <w:spacing w:line="240" w:lineRule="exact"/>
              <w:jc w:val="center"/>
              <w:rPr>
                <w:color w:val="auto"/>
                <w:kern w:val="0"/>
                <w:sz w:val="18"/>
                <w:szCs w:val="18"/>
              </w:rPr>
            </w:pP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3350" w:type="dxa"/>
            <w:gridSpan w:val="4"/>
            <w:vAlign w:val="center"/>
          </w:tcPr>
          <w:p>
            <w:pPr>
              <w:tabs>
                <w:tab w:val="left" w:pos="3430"/>
              </w:tabs>
              <w:spacing w:line="240" w:lineRule="exact"/>
              <w:jc w:val="center"/>
              <w:rPr>
                <w:color w:val="auto"/>
                <w:kern w:val="0"/>
                <w:sz w:val="18"/>
                <w:szCs w:val="18"/>
              </w:rPr>
            </w:pPr>
            <w:r>
              <w:rPr>
                <w:color w:val="auto"/>
                <w:kern w:val="0"/>
                <w:sz w:val="18"/>
                <w:szCs w:val="18"/>
              </w:rPr>
              <w:t>≥25%</w:t>
            </w:r>
          </w:p>
        </w:tc>
        <w:tc>
          <w:tcPr>
            <w:tcW w:w="15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79"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泌水率比</w:t>
            </w: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20%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adjustRightInd w:val="0"/>
              <w:snapToGrid w:val="0"/>
              <w:spacing w:line="240" w:lineRule="exact"/>
              <w:jc w:val="center"/>
              <w:rPr>
                <w:color w:val="auto"/>
                <w:kern w:val="0"/>
                <w:sz w:val="18"/>
                <w:szCs w:val="18"/>
              </w:rPr>
            </w:pP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20%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4</w:t>
            </w:r>
          </w:p>
        </w:tc>
        <w:tc>
          <w:tcPr>
            <w:tcW w:w="3567" w:type="dxa"/>
            <w:gridSpan w:val="3"/>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压力泌水率比（用于泵送混凝土时）</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90%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按TB/T 3275</w:t>
            </w:r>
          </w:p>
          <w:p>
            <w:pPr>
              <w:tabs>
                <w:tab w:val="left" w:pos="3430"/>
              </w:tabs>
              <w:spacing w:line="240" w:lineRule="exact"/>
              <w:jc w:val="center"/>
              <w:rPr>
                <w:color w:val="auto"/>
                <w:kern w:val="0"/>
                <w:sz w:val="18"/>
                <w:szCs w:val="18"/>
              </w:rPr>
            </w:pPr>
            <w:r>
              <w:rPr>
                <w:color w:val="auto"/>
                <w:kern w:val="0"/>
                <w:sz w:val="18"/>
                <w:szCs w:val="18"/>
              </w:rPr>
              <w:t>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49"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w:t>
            </w:r>
          </w:p>
        </w:tc>
        <w:tc>
          <w:tcPr>
            <w:tcW w:w="1383" w:type="dxa"/>
            <w:vMerge w:val="restart"/>
            <w:tcBorders>
              <w:top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硫酸钠含量</w:t>
            </w:r>
          </w:p>
          <w:p>
            <w:pPr>
              <w:tabs>
                <w:tab w:val="left" w:pos="3430"/>
              </w:tabs>
              <w:adjustRightInd w:val="0"/>
              <w:snapToGrid w:val="0"/>
              <w:spacing w:line="240" w:lineRule="exact"/>
              <w:jc w:val="center"/>
              <w:rPr>
                <w:color w:val="auto"/>
                <w:kern w:val="0"/>
                <w:sz w:val="18"/>
                <w:szCs w:val="18"/>
              </w:rPr>
            </w:pPr>
            <w:r>
              <w:rPr>
                <w:color w:val="auto"/>
                <w:kern w:val="0"/>
                <w:sz w:val="18"/>
                <w:szCs w:val="18"/>
              </w:rPr>
              <w:t>（按折固含量计）</w:t>
            </w:r>
          </w:p>
        </w:tc>
        <w:tc>
          <w:tcPr>
            <w:tcW w:w="2184" w:type="dxa"/>
            <w:gridSpan w:val="2"/>
            <w:tcBorders>
              <w:top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10.0%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按GB8077检验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adjustRightInd w:val="0"/>
              <w:snapToGrid w:val="0"/>
              <w:spacing w:line="240" w:lineRule="exact"/>
              <w:jc w:val="center"/>
              <w:rPr>
                <w:color w:val="auto"/>
                <w:kern w:val="0"/>
                <w:sz w:val="18"/>
                <w:szCs w:val="18"/>
              </w:rPr>
            </w:pPr>
          </w:p>
        </w:tc>
        <w:tc>
          <w:tcPr>
            <w:tcW w:w="2184" w:type="dxa"/>
            <w:gridSpan w:val="2"/>
            <w:tcBorders>
              <w:top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5.0%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按GB8077检验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6</w:t>
            </w:r>
          </w:p>
        </w:tc>
        <w:tc>
          <w:tcPr>
            <w:tcW w:w="3567" w:type="dxa"/>
            <w:gridSpan w:val="3"/>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氯离子含量（按折固含量计）</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0.6%</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按GB8077检验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w:t>
            </w:r>
          </w:p>
        </w:tc>
        <w:tc>
          <w:tcPr>
            <w:tcW w:w="3567" w:type="dxa"/>
            <w:gridSpan w:val="3"/>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碱含量（按折固含量计）</w:t>
            </w:r>
          </w:p>
        </w:tc>
        <w:tc>
          <w:tcPr>
            <w:tcW w:w="3350" w:type="dxa"/>
            <w:gridSpan w:val="4"/>
            <w:vAlign w:val="center"/>
          </w:tcPr>
          <w:p>
            <w:pPr>
              <w:tabs>
                <w:tab w:val="left" w:pos="3430"/>
              </w:tabs>
              <w:spacing w:line="240" w:lineRule="exact"/>
              <w:jc w:val="center"/>
              <w:rPr>
                <w:color w:val="auto"/>
                <w:kern w:val="0"/>
                <w:sz w:val="18"/>
                <w:szCs w:val="18"/>
              </w:rPr>
            </w:pPr>
            <w:r>
              <w:rPr>
                <w:color w:val="auto"/>
                <w:sz w:val="18"/>
                <w:szCs w:val="18"/>
              </w:rPr>
              <w:t>≤</w:t>
            </w:r>
            <w:r>
              <w:rPr>
                <w:color w:val="auto"/>
                <w:kern w:val="0"/>
                <w:sz w:val="18"/>
                <w:szCs w:val="18"/>
              </w:rPr>
              <w:t>10%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按GB8077检验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坍落度1h经时变化量（用于配制泵送混凝土时）</w:t>
            </w: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950" w:type="dxa"/>
            <w:vAlign w:val="center"/>
          </w:tcPr>
          <w:p>
            <w:pPr>
              <w:tabs>
                <w:tab w:val="left" w:pos="3430"/>
              </w:tabs>
              <w:spacing w:line="240" w:lineRule="exact"/>
              <w:jc w:val="center"/>
              <w:rPr>
                <w:color w:val="auto"/>
                <w:sz w:val="18"/>
                <w:szCs w:val="18"/>
              </w:rPr>
            </w:pPr>
            <w:r>
              <w:rPr>
                <w:color w:val="auto"/>
                <w:sz w:val="18"/>
                <w:szCs w:val="18"/>
              </w:rPr>
              <w:t>/</w:t>
            </w:r>
          </w:p>
        </w:tc>
        <w:tc>
          <w:tcPr>
            <w:tcW w:w="1350" w:type="dxa"/>
            <w:gridSpan w:val="2"/>
            <w:vAlign w:val="center"/>
          </w:tcPr>
          <w:p>
            <w:pPr>
              <w:tabs>
                <w:tab w:val="left" w:pos="3430"/>
              </w:tabs>
              <w:spacing w:line="240" w:lineRule="exact"/>
              <w:jc w:val="center"/>
              <w:rPr>
                <w:color w:val="auto"/>
                <w:sz w:val="18"/>
                <w:szCs w:val="18"/>
              </w:rPr>
            </w:pPr>
            <w:r>
              <w:rPr>
                <w:color w:val="auto"/>
                <w:sz w:val="18"/>
                <w:szCs w:val="18"/>
              </w:rPr>
              <w:t>/</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≤60mm</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9"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adjustRightInd w:val="0"/>
              <w:snapToGrid w:val="0"/>
              <w:spacing w:line="240" w:lineRule="exact"/>
              <w:jc w:val="center"/>
              <w:rPr>
                <w:color w:val="auto"/>
                <w:kern w:val="0"/>
                <w:sz w:val="18"/>
                <w:szCs w:val="18"/>
              </w:rPr>
            </w:pPr>
          </w:p>
        </w:tc>
        <w:tc>
          <w:tcPr>
            <w:tcW w:w="2184"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950" w:type="dxa"/>
            <w:vAlign w:val="center"/>
          </w:tcPr>
          <w:p>
            <w:pPr>
              <w:tabs>
                <w:tab w:val="left" w:pos="3430"/>
              </w:tabs>
              <w:spacing w:line="240" w:lineRule="exact"/>
              <w:jc w:val="center"/>
              <w:rPr>
                <w:color w:val="auto"/>
                <w:sz w:val="18"/>
                <w:szCs w:val="18"/>
              </w:rPr>
            </w:pPr>
            <w:r>
              <w:rPr>
                <w:color w:val="auto"/>
                <w:sz w:val="18"/>
                <w:szCs w:val="18"/>
              </w:rPr>
              <w:t>/</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≤80mm</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≤60mm</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510"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9</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凝结时间差</w:t>
            </w:r>
          </w:p>
        </w:tc>
        <w:tc>
          <w:tcPr>
            <w:tcW w:w="145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初凝</w:t>
            </w:r>
          </w:p>
        </w:tc>
        <w:tc>
          <w:tcPr>
            <w:tcW w:w="950" w:type="dxa"/>
            <w:tcBorders>
              <w:bottom w:val="single" w:color="auto" w:sz="4" w:space="0"/>
            </w:tcBorders>
            <w:vAlign w:val="center"/>
          </w:tcPr>
          <w:p>
            <w:pPr>
              <w:tabs>
                <w:tab w:val="left" w:pos="3430"/>
              </w:tabs>
              <w:spacing w:line="240" w:lineRule="exact"/>
              <w:jc w:val="center"/>
              <w:rPr>
                <w:color w:val="auto"/>
                <w:sz w:val="18"/>
                <w:szCs w:val="18"/>
              </w:rPr>
            </w:pPr>
            <w:r>
              <w:rPr>
                <w:color w:val="auto"/>
                <w:sz w:val="18"/>
                <w:szCs w:val="18"/>
              </w:rPr>
              <w:t>/</w:t>
            </w:r>
          </w:p>
        </w:tc>
        <w:tc>
          <w:tcPr>
            <w:tcW w:w="1350" w:type="dxa"/>
            <w:gridSpan w:val="2"/>
            <w:tcBorders>
              <w:bottom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-90min～+120min</w:t>
            </w:r>
          </w:p>
        </w:tc>
        <w:tc>
          <w:tcPr>
            <w:tcW w:w="1050" w:type="dxa"/>
            <w:tcBorders>
              <w:bottom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8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终凝</w:t>
            </w:r>
          </w:p>
        </w:tc>
        <w:tc>
          <w:tcPr>
            <w:tcW w:w="950" w:type="dxa"/>
            <w:tcBorders>
              <w:bottom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350" w:type="dxa"/>
            <w:gridSpan w:val="2"/>
            <w:tcBorders>
              <w:bottom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-90min～+120min</w:t>
            </w:r>
          </w:p>
        </w:tc>
        <w:tc>
          <w:tcPr>
            <w:tcW w:w="1050" w:type="dxa"/>
            <w:tcBorders>
              <w:bottom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530"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初凝</w:t>
            </w:r>
          </w:p>
        </w:tc>
        <w:tc>
          <w:tcPr>
            <w:tcW w:w="950" w:type="dxa"/>
            <w:tcBorders>
              <w:top w:val="single" w:color="auto" w:sz="4" w:space="0"/>
            </w:tcBorders>
            <w:vAlign w:val="center"/>
          </w:tcPr>
          <w:p>
            <w:pPr>
              <w:tabs>
                <w:tab w:val="left" w:pos="3430"/>
              </w:tabs>
              <w:spacing w:line="240" w:lineRule="exact"/>
              <w:jc w:val="center"/>
              <w:rPr>
                <w:color w:val="auto"/>
                <w:sz w:val="18"/>
                <w:szCs w:val="18"/>
              </w:rPr>
            </w:pPr>
            <w:r>
              <w:rPr>
                <w:color w:val="auto"/>
                <w:kern w:val="0"/>
                <w:sz w:val="18"/>
                <w:szCs w:val="18"/>
              </w:rPr>
              <w:t>-90mi～+90min</w:t>
            </w:r>
          </w:p>
        </w:tc>
        <w:tc>
          <w:tcPr>
            <w:tcW w:w="1350" w:type="dxa"/>
            <w:gridSpan w:val="2"/>
            <w:tcBorders>
              <w:top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-90min～+120min</w:t>
            </w:r>
          </w:p>
        </w:tc>
        <w:tc>
          <w:tcPr>
            <w:tcW w:w="1050" w:type="dxa"/>
            <w:tcBorders>
              <w:top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593"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终凝</w:t>
            </w:r>
          </w:p>
        </w:tc>
        <w:tc>
          <w:tcPr>
            <w:tcW w:w="950" w:type="dxa"/>
            <w:tcBorders>
              <w:top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-90mi～+90min</w:t>
            </w:r>
          </w:p>
        </w:tc>
        <w:tc>
          <w:tcPr>
            <w:tcW w:w="1350" w:type="dxa"/>
            <w:gridSpan w:val="2"/>
            <w:tcBorders>
              <w:top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-90min～+120min</w:t>
            </w:r>
          </w:p>
        </w:tc>
        <w:tc>
          <w:tcPr>
            <w:tcW w:w="1050" w:type="dxa"/>
            <w:tcBorders>
              <w:top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37"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10</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抗压强度比</w:t>
            </w:r>
          </w:p>
        </w:tc>
        <w:tc>
          <w:tcPr>
            <w:tcW w:w="145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≥140%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≥130%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68"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≥125%</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≥125%</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43"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spacing w:line="240" w:lineRule="exact"/>
              <w:jc w:val="center"/>
              <w:rPr>
                <w:color w:val="auto"/>
                <w:kern w:val="0"/>
                <w:sz w:val="18"/>
                <w:szCs w:val="18"/>
              </w:rPr>
            </w:pPr>
            <w:r>
              <w:rPr>
                <w:color w:val="auto"/>
                <w:kern w:val="0"/>
                <w:sz w:val="18"/>
                <w:szCs w:val="18"/>
              </w:rPr>
              <w:t>28d</w:t>
            </w:r>
          </w:p>
        </w:tc>
        <w:tc>
          <w:tcPr>
            <w:tcW w:w="950" w:type="dxa"/>
            <w:vAlign w:val="center"/>
          </w:tcPr>
          <w:p>
            <w:pPr>
              <w:tabs>
                <w:tab w:val="left" w:pos="3430"/>
              </w:tabs>
              <w:spacing w:line="240" w:lineRule="exact"/>
              <w:jc w:val="center"/>
              <w:rPr>
                <w:b/>
                <w:color w:val="auto"/>
                <w:kern w:val="0"/>
                <w:sz w:val="18"/>
                <w:szCs w:val="18"/>
              </w:rPr>
            </w:pPr>
            <w:r>
              <w:rPr>
                <w:bCs/>
                <w:color w:val="auto"/>
                <w:kern w:val="0"/>
                <w:sz w:val="18"/>
                <w:szCs w:val="18"/>
              </w:rPr>
              <w:t>/</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≥120%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≥120%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27"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≥180%</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≥170%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16"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≥170%</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≥160%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55"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≥145%</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≥150%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≥140%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80"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spacing w:line="240" w:lineRule="exact"/>
              <w:jc w:val="center"/>
              <w:rPr>
                <w:color w:val="auto"/>
                <w:kern w:val="0"/>
                <w:sz w:val="18"/>
                <w:szCs w:val="18"/>
              </w:rPr>
            </w:pPr>
          </w:p>
        </w:tc>
        <w:tc>
          <w:tcPr>
            <w:tcW w:w="1450" w:type="dxa"/>
            <w:vMerge w:val="continue"/>
            <w:vAlign w:val="center"/>
          </w:tcPr>
          <w:p>
            <w:pPr>
              <w:tabs>
                <w:tab w:val="left" w:pos="3430"/>
              </w:tabs>
              <w:adjustRightInd w:val="0"/>
              <w:snapToGrid w:val="0"/>
              <w:spacing w:line="240" w:lineRule="exact"/>
              <w:jc w:val="center"/>
              <w:rPr>
                <w:color w:val="auto"/>
                <w:kern w:val="0"/>
                <w:sz w:val="18"/>
                <w:szCs w:val="18"/>
              </w:rPr>
            </w:pPr>
          </w:p>
        </w:tc>
        <w:tc>
          <w:tcPr>
            <w:tcW w:w="734" w:type="dxa"/>
            <w:vAlign w:val="center"/>
          </w:tcPr>
          <w:p>
            <w:pPr>
              <w:tabs>
                <w:tab w:val="left" w:pos="3430"/>
              </w:tabs>
              <w:spacing w:line="240" w:lineRule="exact"/>
              <w:jc w:val="center"/>
              <w:rPr>
                <w:color w:val="auto"/>
                <w:kern w:val="0"/>
                <w:sz w:val="18"/>
                <w:szCs w:val="18"/>
              </w:rPr>
            </w:pPr>
            <w:r>
              <w:rPr>
                <w:color w:val="auto"/>
                <w:kern w:val="0"/>
                <w:sz w:val="18"/>
                <w:szCs w:val="18"/>
              </w:rPr>
              <w:t>28d</w:t>
            </w:r>
          </w:p>
        </w:tc>
        <w:tc>
          <w:tcPr>
            <w:tcW w:w="950" w:type="dxa"/>
            <w:vAlign w:val="center"/>
          </w:tcPr>
          <w:p>
            <w:pPr>
              <w:tabs>
                <w:tab w:val="left" w:pos="3430"/>
              </w:tabs>
              <w:spacing w:line="240" w:lineRule="exact"/>
              <w:jc w:val="center"/>
              <w:rPr>
                <w:color w:val="auto"/>
                <w:kern w:val="0"/>
                <w:sz w:val="18"/>
                <w:szCs w:val="18"/>
              </w:rPr>
            </w:pPr>
            <w:r>
              <w:rPr>
                <w:color w:val="auto"/>
                <w:kern w:val="0"/>
                <w:sz w:val="18"/>
                <w:szCs w:val="18"/>
              </w:rPr>
              <w:t>≥130%</w:t>
            </w:r>
          </w:p>
        </w:tc>
        <w:tc>
          <w:tcPr>
            <w:tcW w:w="1350" w:type="dxa"/>
            <w:gridSpan w:val="2"/>
            <w:vAlign w:val="center"/>
          </w:tcPr>
          <w:p>
            <w:pPr>
              <w:tabs>
                <w:tab w:val="left" w:pos="3430"/>
              </w:tabs>
              <w:spacing w:line="240" w:lineRule="exact"/>
              <w:jc w:val="center"/>
              <w:rPr>
                <w:color w:val="auto"/>
                <w:kern w:val="0"/>
                <w:sz w:val="18"/>
                <w:szCs w:val="18"/>
              </w:rPr>
            </w:pPr>
            <w:r>
              <w:rPr>
                <w:color w:val="auto"/>
                <w:kern w:val="0"/>
                <w:sz w:val="18"/>
                <w:szCs w:val="18"/>
              </w:rPr>
              <w:t>≥140%</w:t>
            </w:r>
          </w:p>
        </w:tc>
        <w:tc>
          <w:tcPr>
            <w:tcW w:w="1050" w:type="dxa"/>
            <w:vAlign w:val="center"/>
          </w:tcPr>
          <w:p>
            <w:pPr>
              <w:tabs>
                <w:tab w:val="left" w:pos="3430"/>
              </w:tabs>
              <w:spacing w:line="240" w:lineRule="exact"/>
              <w:jc w:val="center"/>
              <w:rPr>
                <w:color w:val="auto"/>
                <w:kern w:val="0"/>
                <w:sz w:val="18"/>
                <w:szCs w:val="18"/>
              </w:rPr>
            </w:pPr>
            <w:r>
              <w:rPr>
                <w:color w:val="auto"/>
                <w:kern w:val="0"/>
                <w:sz w:val="18"/>
                <w:szCs w:val="18"/>
              </w:rPr>
              <w:t>≥140%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35" w:hRule="atLeast"/>
          <w:jc w:val="center"/>
        </w:trPr>
        <w:tc>
          <w:tcPr>
            <w:tcW w:w="56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11</w:t>
            </w:r>
          </w:p>
        </w:tc>
        <w:tc>
          <w:tcPr>
            <w:tcW w:w="1383"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收缩率比</w:t>
            </w:r>
          </w:p>
        </w:tc>
        <w:tc>
          <w:tcPr>
            <w:tcW w:w="145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高效减水剂</w:t>
            </w:r>
          </w:p>
        </w:tc>
        <w:tc>
          <w:tcPr>
            <w:tcW w:w="4084" w:type="dxa"/>
            <w:gridSpan w:val="5"/>
            <w:vAlign w:val="center"/>
          </w:tcPr>
          <w:p>
            <w:pPr>
              <w:tabs>
                <w:tab w:val="left" w:pos="3430"/>
              </w:tabs>
              <w:spacing w:line="240" w:lineRule="exact"/>
              <w:jc w:val="center"/>
              <w:rPr>
                <w:color w:val="auto"/>
                <w:sz w:val="18"/>
                <w:szCs w:val="18"/>
              </w:rPr>
            </w:pPr>
            <w:r>
              <w:rPr>
                <w:color w:val="auto"/>
                <w:kern w:val="0"/>
                <w:sz w:val="18"/>
                <w:szCs w:val="18"/>
              </w:rPr>
              <w:t>≤125%</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26" w:hRule="atLeast"/>
          <w:jc w:val="center"/>
        </w:trPr>
        <w:tc>
          <w:tcPr>
            <w:tcW w:w="569" w:type="dxa"/>
            <w:vMerge w:val="continue"/>
            <w:vAlign w:val="center"/>
          </w:tcPr>
          <w:p>
            <w:pPr>
              <w:tabs>
                <w:tab w:val="left" w:pos="3430"/>
              </w:tabs>
              <w:adjustRightInd w:val="0"/>
              <w:snapToGrid w:val="0"/>
              <w:spacing w:line="240" w:lineRule="exact"/>
              <w:jc w:val="center"/>
              <w:rPr>
                <w:color w:val="auto"/>
                <w:kern w:val="0"/>
                <w:sz w:val="18"/>
                <w:szCs w:val="18"/>
              </w:rPr>
            </w:pPr>
          </w:p>
        </w:tc>
        <w:tc>
          <w:tcPr>
            <w:tcW w:w="1383" w:type="dxa"/>
            <w:vMerge w:val="continue"/>
            <w:vAlign w:val="center"/>
          </w:tcPr>
          <w:p>
            <w:pPr>
              <w:tabs>
                <w:tab w:val="left" w:pos="3430"/>
              </w:tabs>
              <w:adjustRightInd w:val="0"/>
              <w:snapToGrid w:val="0"/>
              <w:spacing w:line="240" w:lineRule="exact"/>
              <w:jc w:val="center"/>
              <w:rPr>
                <w:color w:val="auto"/>
                <w:kern w:val="0"/>
                <w:sz w:val="18"/>
                <w:szCs w:val="18"/>
              </w:rPr>
            </w:pPr>
          </w:p>
        </w:tc>
        <w:tc>
          <w:tcPr>
            <w:tcW w:w="145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高性能减水剂</w:t>
            </w:r>
          </w:p>
        </w:tc>
        <w:tc>
          <w:tcPr>
            <w:tcW w:w="4084" w:type="dxa"/>
            <w:gridSpan w:val="5"/>
            <w:vAlign w:val="center"/>
          </w:tcPr>
          <w:p>
            <w:pPr>
              <w:tabs>
                <w:tab w:val="left" w:pos="3430"/>
              </w:tabs>
              <w:spacing w:line="240" w:lineRule="exact"/>
              <w:jc w:val="center"/>
              <w:rPr>
                <w:color w:val="auto"/>
                <w:sz w:val="18"/>
                <w:szCs w:val="18"/>
              </w:rPr>
            </w:pPr>
            <w:r>
              <w:rPr>
                <w:color w:val="auto"/>
                <w:kern w:val="0"/>
                <w:sz w:val="18"/>
                <w:szCs w:val="18"/>
              </w:rPr>
              <w:t>≤110%</w:t>
            </w:r>
          </w:p>
        </w:tc>
        <w:tc>
          <w:tcPr>
            <w:tcW w:w="1534" w:type="dxa"/>
            <w:vAlign w:val="center"/>
          </w:tcPr>
          <w:p>
            <w:pPr>
              <w:tabs>
                <w:tab w:val="left" w:pos="3430"/>
              </w:tabs>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33" w:hRule="atLeast"/>
          <w:jc w:val="center"/>
        </w:trPr>
        <w:tc>
          <w:tcPr>
            <w:tcW w:w="56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12</w:t>
            </w:r>
          </w:p>
        </w:tc>
        <w:tc>
          <w:tcPr>
            <w:tcW w:w="1383"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匀质性</w:t>
            </w:r>
          </w:p>
        </w:tc>
        <w:tc>
          <w:tcPr>
            <w:tcW w:w="5534" w:type="dxa"/>
            <w:gridSpan w:val="6"/>
            <w:vAlign w:val="center"/>
          </w:tcPr>
          <w:p>
            <w:pPr>
              <w:tabs>
                <w:tab w:val="left" w:pos="3430"/>
              </w:tabs>
              <w:spacing w:line="240" w:lineRule="exact"/>
              <w:jc w:val="center"/>
              <w:rPr>
                <w:color w:val="auto"/>
                <w:kern w:val="0"/>
                <w:sz w:val="18"/>
                <w:szCs w:val="18"/>
              </w:rPr>
            </w:pPr>
            <w:r>
              <w:rPr>
                <w:color w:val="auto"/>
                <w:kern w:val="0"/>
                <w:sz w:val="18"/>
                <w:szCs w:val="18"/>
              </w:rPr>
              <w:t>满足GB 8076要求</w:t>
            </w:r>
          </w:p>
        </w:tc>
        <w:tc>
          <w:tcPr>
            <w:tcW w:w="1534" w:type="dxa"/>
            <w:vAlign w:val="center"/>
          </w:tcPr>
          <w:p>
            <w:pPr>
              <w:tabs>
                <w:tab w:val="left" w:pos="3430"/>
              </w:tabs>
              <w:spacing w:line="240" w:lineRule="exact"/>
              <w:rPr>
                <w:color w:val="auto"/>
                <w:kern w:val="0"/>
                <w:sz w:val="18"/>
                <w:szCs w:val="18"/>
              </w:rPr>
            </w:pPr>
            <w:r>
              <w:rPr>
                <w:color w:val="auto"/>
                <w:kern w:val="0"/>
                <w:sz w:val="18"/>
                <w:szCs w:val="18"/>
              </w:rPr>
              <w:t>查质量证明文件</w:t>
            </w:r>
          </w:p>
        </w:tc>
      </w:tr>
    </w:tbl>
    <w:p>
      <w:pPr>
        <w:widowControl/>
        <w:ind w:firstLine="420" w:firstLineChars="200"/>
        <w:rPr>
          <w:color w:val="auto"/>
          <w:sz w:val="21"/>
          <w:szCs w:val="21"/>
        </w:rPr>
      </w:pPr>
      <w:r>
        <w:rPr>
          <w:color w:val="auto"/>
          <w:sz w:val="21"/>
          <w:szCs w:val="21"/>
        </w:rPr>
        <w:t>注：抽检试验用水泥宜为工程用水泥。</w:t>
      </w:r>
    </w:p>
    <w:p>
      <w:pPr>
        <w:pStyle w:val="48"/>
        <w:numPr>
          <w:ilvl w:val="0"/>
          <w:numId w:val="11"/>
        </w:numPr>
        <w:ind w:left="0" w:firstLine="0"/>
        <w:rPr>
          <w:color w:val="auto"/>
        </w:rPr>
      </w:pPr>
      <w:r>
        <w:rPr>
          <w:color w:val="auto"/>
        </w:rPr>
        <w:t>引气剂的性能应符合表4.3.3-1的规定。引气剂的检验方法和检验数量应符合《铁路混凝土工程施工质量验收标准》TB 10424的规定。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表4.3.3-1  引气剂的性能</w:t>
      </w:r>
    </w:p>
    <w:tbl>
      <w:tblPr>
        <w:tblStyle w:val="44"/>
        <w:tblW w:w="9016"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
      <w:tblGrid>
        <w:gridCol w:w="814"/>
        <w:gridCol w:w="1572"/>
        <w:gridCol w:w="1790"/>
        <w:gridCol w:w="2371"/>
        <w:gridCol w:w="24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482" w:hRule="atLeast"/>
          <w:jc w:val="center"/>
        </w:trPr>
        <w:tc>
          <w:tcPr>
            <w:tcW w:w="814" w:type="dxa"/>
            <w:vMerge w:val="restart"/>
            <w:tcBorders>
              <w:top w:val="single" w:color="auto" w:sz="8"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序号</w:t>
            </w:r>
          </w:p>
        </w:tc>
        <w:tc>
          <w:tcPr>
            <w:tcW w:w="3362" w:type="dxa"/>
            <w:gridSpan w:val="2"/>
            <w:vMerge w:val="restart"/>
            <w:tcBorders>
              <w:top w:val="single" w:color="auto" w:sz="8"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检验项目</w:t>
            </w:r>
          </w:p>
        </w:tc>
        <w:tc>
          <w:tcPr>
            <w:tcW w:w="2371" w:type="dxa"/>
            <w:vMerge w:val="restart"/>
            <w:tcBorders>
              <w:top w:val="single" w:color="auto" w:sz="8"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技术要求</w:t>
            </w:r>
          </w:p>
        </w:tc>
        <w:tc>
          <w:tcPr>
            <w:tcW w:w="2469" w:type="dxa"/>
            <w:vMerge w:val="restart"/>
            <w:tcBorders>
              <w:top w:val="single" w:color="auto" w:sz="8"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57" w:type="dxa"/>
            <w:bottom w:w="0" w:type="dxa"/>
            <w:right w:w="57" w:type="dxa"/>
          </w:tblCellMar>
        </w:tblPrEx>
        <w:trPr>
          <w:cantSplit/>
          <w:trHeight w:val="240" w:hRule="atLeast"/>
          <w:jc w:val="center"/>
        </w:trPr>
        <w:tc>
          <w:tcPr>
            <w:tcW w:w="814"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rPr>
                <w:color w:val="auto"/>
                <w:kern w:val="0"/>
                <w:sz w:val="18"/>
                <w:szCs w:val="18"/>
              </w:rPr>
            </w:pPr>
          </w:p>
        </w:tc>
        <w:tc>
          <w:tcPr>
            <w:tcW w:w="3362" w:type="dxa"/>
            <w:gridSpan w:val="2"/>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rPr>
                <w:color w:val="auto"/>
                <w:kern w:val="0"/>
                <w:sz w:val="18"/>
                <w:szCs w:val="18"/>
              </w:rPr>
            </w:pPr>
          </w:p>
        </w:tc>
        <w:tc>
          <w:tcPr>
            <w:tcW w:w="2371"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rPr>
                <w:color w:val="auto"/>
                <w:kern w:val="0"/>
                <w:sz w:val="18"/>
                <w:szCs w:val="18"/>
              </w:rPr>
            </w:pPr>
          </w:p>
        </w:tc>
        <w:tc>
          <w:tcPr>
            <w:tcW w:w="2469" w:type="dxa"/>
            <w:vMerge w:val="continue"/>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减水率</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≥6%</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含气量</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≥3.0%</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泌水率比</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≤70%</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4</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1h含气量经时变化量</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-1.5%～+1.5%</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vMerge w:val="restart"/>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w:t>
            </w:r>
          </w:p>
        </w:tc>
        <w:tc>
          <w:tcPr>
            <w:tcW w:w="1572" w:type="dxa"/>
            <w:vMerge w:val="restart"/>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抗压强度比</w:t>
            </w:r>
          </w:p>
        </w:tc>
        <w:tc>
          <w:tcPr>
            <w:tcW w:w="179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3d</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≥95%</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572"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79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7d</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≥95%</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572"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790"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28d</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vMerge w:val="restart"/>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6</w:t>
            </w:r>
          </w:p>
        </w:tc>
        <w:tc>
          <w:tcPr>
            <w:tcW w:w="1572" w:type="dxa"/>
            <w:vMerge w:val="restart"/>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凝结时间差</w:t>
            </w:r>
          </w:p>
        </w:tc>
        <w:tc>
          <w:tcPr>
            <w:tcW w:w="179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终凝</w:t>
            </w:r>
          </w:p>
        </w:tc>
        <w:tc>
          <w:tcPr>
            <w:tcW w:w="2371" w:type="dxa"/>
            <w:vMerge w:val="restart"/>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-90min～+120min</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vMerge w:val="continue"/>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572"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p>
        </w:tc>
        <w:tc>
          <w:tcPr>
            <w:tcW w:w="1790" w:type="dxa"/>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初凝</w:t>
            </w:r>
          </w:p>
        </w:tc>
        <w:tc>
          <w:tcPr>
            <w:tcW w:w="2371" w:type="dxa"/>
            <w:vMerge w:val="continue"/>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收缩率比</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≤125%</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相对耐久性指数（200次）</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≥80%</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9</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28d硬化混凝土气泡间距系数</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sz w:val="18"/>
                <w:szCs w:val="18"/>
              </w:rPr>
              <w:t>≤300</w:t>
            </w:r>
            <w:r>
              <w:rPr>
                <w:color w:val="auto"/>
                <w:kern w:val="0"/>
                <w:sz w:val="18"/>
                <w:szCs w:val="18"/>
              </w:rPr>
              <w:t>μm</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按TB/T 3275检验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10</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氯离子含量（按折固含量计）</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按GB8077检验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814" w:type="dxa"/>
            <w:tcBorders>
              <w:top w:val="single" w:color="auto" w:sz="4" w:space="0"/>
              <w:left w:val="single" w:color="auto" w:sz="8"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11</w:t>
            </w:r>
          </w:p>
        </w:tc>
        <w:tc>
          <w:tcPr>
            <w:tcW w:w="3362" w:type="dxa"/>
            <w:gridSpan w:val="2"/>
            <w:tcBorders>
              <w:top w:val="single" w:color="auto" w:sz="4" w:space="0"/>
              <w:left w:val="single" w:color="auto" w:sz="4" w:space="0"/>
              <w:bottom w:val="single" w:color="auto" w:sz="4" w:space="0"/>
              <w:right w:val="single" w:color="auto" w:sz="4"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碱含量（按折固含量计）</w:t>
            </w:r>
          </w:p>
        </w:tc>
        <w:tc>
          <w:tcPr>
            <w:tcW w:w="2371" w:type="dxa"/>
            <w:tcBorders>
              <w:top w:val="single" w:color="auto" w:sz="4" w:space="0"/>
              <w:left w:val="single" w:color="auto" w:sz="4" w:space="0"/>
              <w:bottom w:val="single" w:color="auto" w:sz="4" w:space="0"/>
              <w:right w:val="single" w:color="auto" w:sz="4" w:space="0"/>
            </w:tcBorders>
            <w:vAlign w:val="center"/>
          </w:tcPr>
          <w:p>
            <w:pPr>
              <w:tabs>
                <w:tab w:val="left" w:pos="3430"/>
              </w:tabs>
              <w:spacing w:line="240" w:lineRule="exact"/>
              <w:jc w:val="center"/>
              <w:rPr>
                <w:color w:val="auto"/>
                <w:kern w:val="0"/>
                <w:sz w:val="18"/>
                <w:szCs w:val="18"/>
              </w:rPr>
            </w:pPr>
            <w:r>
              <w:rPr>
                <w:color w:val="auto"/>
                <w:kern w:val="0"/>
                <w:sz w:val="18"/>
                <w:szCs w:val="18"/>
              </w:rPr>
              <w:t>*</w:t>
            </w:r>
          </w:p>
        </w:tc>
        <w:tc>
          <w:tcPr>
            <w:tcW w:w="2469" w:type="dxa"/>
            <w:tcBorders>
              <w:top w:val="single" w:color="auto" w:sz="4" w:space="0"/>
              <w:left w:val="single" w:color="auto" w:sz="4" w:space="0"/>
              <w:bottom w:val="single" w:color="auto" w:sz="4" w:space="0"/>
              <w:right w:val="single" w:color="auto" w:sz="8" w:space="0"/>
            </w:tcBorders>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按GB8077检验</w:t>
            </w:r>
          </w:p>
        </w:tc>
      </w:tr>
    </w:tbl>
    <w:p>
      <w:pPr>
        <w:widowControl/>
        <w:ind w:firstLine="360" w:firstLineChars="200"/>
        <w:rPr>
          <w:bCs/>
          <w:color w:val="auto"/>
          <w:sz w:val="18"/>
          <w:szCs w:val="18"/>
        </w:rPr>
      </w:pPr>
      <w:r>
        <w:rPr>
          <w:bCs/>
          <w:color w:val="auto"/>
          <w:sz w:val="18"/>
          <w:szCs w:val="18"/>
        </w:rPr>
        <w:t>注：</w:t>
      </w:r>
      <w:r>
        <w:rPr>
          <w:b/>
          <w:bCs/>
          <w:color w:val="auto"/>
          <w:sz w:val="18"/>
          <w:szCs w:val="18"/>
        </w:rPr>
        <w:t>1</w:t>
      </w:r>
      <w:r>
        <w:rPr>
          <w:bCs/>
          <w:color w:val="auto"/>
          <w:sz w:val="18"/>
          <w:szCs w:val="18"/>
        </w:rPr>
        <w:t>抽检试验用水泥宜为工程用水泥。</w:t>
      </w:r>
    </w:p>
    <w:p>
      <w:pPr>
        <w:widowControl/>
        <w:ind w:firstLine="361" w:firstLineChars="200"/>
        <w:rPr>
          <w:bCs/>
          <w:color w:val="auto"/>
          <w:sz w:val="18"/>
          <w:szCs w:val="18"/>
        </w:rPr>
      </w:pPr>
      <w:r>
        <w:rPr>
          <w:b/>
          <w:bCs/>
          <w:color w:val="auto"/>
          <w:sz w:val="18"/>
          <w:szCs w:val="18"/>
        </w:rPr>
        <w:t>2</w:t>
      </w:r>
      <w:r>
        <w:rPr>
          <w:color w:val="auto"/>
          <w:kern w:val="0"/>
          <w:sz w:val="18"/>
          <w:szCs w:val="18"/>
        </w:rPr>
        <w:t>“*”氯离子含量值和碱含量值用于计算混凝土的总氯离子含量和总碱含量。</w:t>
      </w:r>
    </w:p>
    <w:p>
      <w:pPr>
        <w:pStyle w:val="48"/>
        <w:numPr>
          <w:ilvl w:val="0"/>
          <w:numId w:val="11"/>
        </w:numPr>
        <w:ind w:left="0" w:firstLine="0"/>
        <w:rPr>
          <w:color w:val="auto"/>
        </w:rPr>
      </w:pPr>
      <w:r>
        <w:rPr>
          <w:color w:val="auto"/>
        </w:rPr>
        <w:t>速凝剂应采用质量稳定的产品，与水泥具有良好的适应性，其掺量通过试验确定。速凝剂的性能和检验方法和检验数量表4.3.4-1的规定。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表4.3.4-1 液体速凝剂的性能和检验要求</w:t>
      </w:r>
    </w:p>
    <w:tbl>
      <w:tblPr>
        <w:tblStyle w:val="44"/>
        <w:tblW w:w="913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7"/>
        <w:gridCol w:w="589"/>
        <w:gridCol w:w="961"/>
        <w:gridCol w:w="800"/>
        <w:gridCol w:w="867"/>
        <w:gridCol w:w="1072"/>
        <w:gridCol w:w="433"/>
        <w:gridCol w:w="917"/>
        <w:gridCol w:w="411"/>
        <w:gridCol w:w="1283"/>
        <w:gridCol w:w="434"/>
        <w:gridCol w:w="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jc w:val="center"/>
        </w:trPr>
        <w:tc>
          <w:tcPr>
            <w:tcW w:w="417" w:type="dxa"/>
            <w:vMerge w:val="restart"/>
            <w:vAlign w:val="center"/>
          </w:tcPr>
          <w:p>
            <w:pPr>
              <w:ind w:right="29" w:rightChars="12"/>
              <w:jc w:val="center"/>
              <w:rPr>
                <w:color w:val="auto"/>
                <w:sz w:val="18"/>
                <w:szCs w:val="18"/>
              </w:rPr>
            </w:pPr>
            <w:r>
              <w:rPr>
                <w:color w:val="auto"/>
                <w:sz w:val="18"/>
                <w:szCs w:val="18"/>
              </w:rPr>
              <w:t>序号</w:t>
            </w:r>
          </w:p>
        </w:tc>
        <w:tc>
          <w:tcPr>
            <w:tcW w:w="1550" w:type="dxa"/>
            <w:gridSpan w:val="2"/>
            <w:vMerge w:val="restart"/>
            <w:vAlign w:val="center"/>
          </w:tcPr>
          <w:p>
            <w:pPr>
              <w:ind w:right="29" w:rightChars="12"/>
              <w:jc w:val="center"/>
              <w:rPr>
                <w:color w:val="auto"/>
                <w:sz w:val="18"/>
                <w:szCs w:val="18"/>
              </w:rPr>
            </w:pPr>
            <w:r>
              <w:rPr>
                <w:color w:val="auto"/>
                <w:sz w:val="18"/>
                <w:szCs w:val="18"/>
              </w:rPr>
              <w:t>检验项目</w:t>
            </w:r>
          </w:p>
        </w:tc>
        <w:tc>
          <w:tcPr>
            <w:tcW w:w="1667" w:type="dxa"/>
            <w:gridSpan w:val="2"/>
            <w:vAlign w:val="center"/>
          </w:tcPr>
          <w:p>
            <w:pPr>
              <w:ind w:right="29" w:rightChars="12"/>
              <w:jc w:val="center"/>
              <w:rPr>
                <w:color w:val="auto"/>
                <w:sz w:val="18"/>
                <w:szCs w:val="18"/>
              </w:rPr>
            </w:pPr>
            <w:r>
              <w:rPr>
                <w:color w:val="auto"/>
                <w:sz w:val="18"/>
                <w:szCs w:val="18"/>
              </w:rPr>
              <w:t>技术要求</w:t>
            </w:r>
          </w:p>
        </w:tc>
        <w:tc>
          <w:tcPr>
            <w:tcW w:w="1072" w:type="dxa"/>
            <w:vMerge w:val="restart"/>
            <w:vAlign w:val="center"/>
          </w:tcPr>
          <w:p>
            <w:pPr>
              <w:ind w:right="29" w:rightChars="12"/>
              <w:jc w:val="center"/>
              <w:rPr>
                <w:color w:val="auto"/>
                <w:sz w:val="18"/>
                <w:szCs w:val="18"/>
              </w:rPr>
            </w:pPr>
            <w:r>
              <w:rPr>
                <w:color w:val="auto"/>
                <w:sz w:val="18"/>
                <w:szCs w:val="18"/>
              </w:rPr>
              <w:t>检验方法</w:t>
            </w:r>
          </w:p>
        </w:tc>
        <w:tc>
          <w:tcPr>
            <w:tcW w:w="4428" w:type="dxa"/>
            <w:gridSpan w:val="6"/>
            <w:vAlign w:val="center"/>
          </w:tcPr>
          <w:p>
            <w:pPr>
              <w:ind w:right="29" w:rightChars="12"/>
              <w:jc w:val="center"/>
              <w:rPr>
                <w:color w:val="auto"/>
                <w:sz w:val="18"/>
                <w:szCs w:val="18"/>
              </w:rPr>
            </w:pPr>
            <w:r>
              <w:rPr>
                <w:color w:val="auto"/>
                <w:sz w:val="18"/>
                <w:szCs w:val="18"/>
              </w:rPr>
              <w:t>检验规定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jc w:val="center"/>
        </w:trPr>
        <w:tc>
          <w:tcPr>
            <w:tcW w:w="417" w:type="dxa"/>
            <w:vMerge w:val="continue"/>
            <w:vAlign w:val="center"/>
          </w:tcPr>
          <w:p>
            <w:pPr>
              <w:ind w:right="29" w:rightChars="12"/>
              <w:jc w:val="center"/>
              <w:rPr>
                <w:color w:val="auto"/>
                <w:sz w:val="18"/>
                <w:szCs w:val="18"/>
              </w:rPr>
            </w:pPr>
          </w:p>
        </w:tc>
        <w:tc>
          <w:tcPr>
            <w:tcW w:w="1550" w:type="dxa"/>
            <w:gridSpan w:val="2"/>
            <w:vMerge w:val="continue"/>
            <w:vAlign w:val="center"/>
          </w:tcPr>
          <w:p>
            <w:pPr>
              <w:ind w:right="29" w:rightChars="12"/>
              <w:jc w:val="center"/>
              <w:rPr>
                <w:color w:val="auto"/>
                <w:sz w:val="18"/>
                <w:szCs w:val="18"/>
              </w:rPr>
            </w:pPr>
          </w:p>
        </w:tc>
        <w:tc>
          <w:tcPr>
            <w:tcW w:w="800" w:type="dxa"/>
            <w:vAlign w:val="center"/>
          </w:tcPr>
          <w:p>
            <w:pPr>
              <w:adjustRightInd w:val="0"/>
              <w:snapToGrid w:val="0"/>
              <w:jc w:val="center"/>
              <w:rPr>
                <w:color w:val="auto"/>
                <w:kern w:val="0"/>
                <w:sz w:val="18"/>
                <w:szCs w:val="18"/>
              </w:rPr>
            </w:pPr>
            <w:r>
              <w:rPr>
                <w:color w:val="auto"/>
                <w:kern w:val="0"/>
                <w:sz w:val="18"/>
                <w:szCs w:val="18"/>
              </w:rPr>
              <w:t>无碱速凝剂</w:t>
            </w:r>
          </w:p>
          <w:p>
            <w:pPr>
              <w:adjustRightInd w:val="0"/>
              <w:snapToGrid w:val="0"/>
              <w:jc w:val="center"/>
              <w:rPr>
                <w:color w:val="auto"/>
                <w:kern w:val="0"/>
                <w:sz w:val="18"/>
                <w:szCs w:val="18"/>
              </w:rPr>
            </w:pPr>
            <w:r>
              <w:rPr>
                <w:color w:val="auto"/>
                <w:kern w:val="0"/>
                <w:sz w:val="18"/>
                <w:szCs w:val="18"/>
              </w:rPr>
              <w:t>FSA-AF</w:t>
            </w:r>
          </w:p>
        </w:tc>
        <w:tc>
          <w:tcPr>
            <w:tcW w:w="867" w:type="dxa"/>
            <w:vAlign w:val="center"/>
          </w:tcPr>
          <w:p>
            <w:pPr>
              <w:adjustRightInd w:val="0"/>
              <w:snapToGrid w:val="0"/>
              <w:jc w:val="center"/>
              <w:rPr>
                <w:color w:val="auto"/>
                <w:kern w:val="0"/>
                <w:sz w:val="18"/>
                <w:szCs w:val="18"/>
              </w:rPr>
            </w:pPr>
            <w:r>
              <w:rPr>
                <w:color w:val="auto"/>
                <w:kern w:val="0"/>
                <w:sz w:val="18"/>
                <w:szCs w:val="18"/>
              </w:rPr>
              <w:t>有碱速凝剂</w:t>
            </w:r>
          </w:p>
          <w:p>
            <w:pPr>
              <w:adjustRightInd w:val="0"/>
              <w:snapToGrid w:val="0"/>
              <w:jc w:val="center"/>
              <w:rPr>
                <w:color w:val="auto"/>
                <w:kern w:val="0"/>
                <w:sz w:val="18"/>
                <w:szCs w:val="18"/>
              </w:rPr>
            </w:pPr>
            <w:r>
              <w:rPr>
                <w:color w:val="auto"/>
                <w:kern w:val="0"/>
                <w:sz w:val="18"/>
                <w:szCs w:val="18"/>
              </w:rPr>
              <w:t>FSA-A</w:t>
            </w:r>
          </w:p>
        </w:tc>
        <w:tc>
          <w:tcPr>
            <w:tcW w:w="1072" w:type="dxa"/>
            <w:vMerge w:val="continue"/>
            <w:vAlign w:val="center"/>
          </w:tcPr>
          <w:p>
            <w:pPr>
              <w:ind w:right="29" w:rightChars="12"/>
              <w:jc w:val="center"/>
              <w:rPr>
                <w:color w:val="auto"/>
                <w:sz w:val="18"/>
                <w:szCs w:val="18"/>
              </w:rPr>
            </w:pPr>
          </w:p>
        </w:tc>
        <w:tc>
          <w:tcPr>
            <w:tcW w:w="1350" w:type="dxa"/>
            <w:gridSpan w:val="2"/>
            <w:vAlign w:val="center"/>
          </w:tcPr>
          <w:p>
            <w:pPr>
              <w:ind w:right="29" w:rightChars="12"/>
              <w:jc w:val="center"/>
              <w:rPr>
                <w:color w:val="auto"/>
                <w:sz w:val="18"/>
                <w:szCs w:val="18"/>
              </w:rPr>
            </w:pPr>
            <w:r>
              <w:rPr>
                <w:color w:val="auto"/>
                <w:sz w:val="18"/>
                <w:szCs w:val="18"/>
              </w:rPr>
              <w:t>质量证明文件检查</w:t>
            </w:r>
          </w:p>
        </w:tc>
        <w:tc>
          <w:tcPr>
            <w:tcW w:w="3078" w:type="dxa"/>
            <w:gridSpan w:val="4"/>
            <w:vAlign w:val="center"/>
          </w:tcPr>
          <w:p>
            <w:pPr>
              <w:ind w:right="29" w:rightChars="12"/>
              <w:jc w:val="center"/>
              <w:rPr>
                <w:color w:val="auto"/>
                <w:sz w:val="18"/>
                <w:szCs w:val="18"/>
              </w:rPr>
            </w:pPr>
            <w:r>
              <w:rPr>
                <w:color w:val="auto"/>
                <w:sz w:val="18"/>
                <w:szCs w:val="18"/>
              </w:rPr>
              <w:t>抽样试验检验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9" w:hRule="atLeast"/>
          <w:jc w:val="center"/>
        </w:trPr>
        <w:tc>
          <w:tcPr>
            <w:tcW w:w="417" w:type="dxa"/>
            <w:vMerge w:val="restart"/>
            <w:vAlign w:val="center"/>
          </w:tcPr>
          <w:p>
            <w:pPr>
              <w:adjustRightInd w:val="0"/>
              <w:snapToGrid w:val="0"/>
              <w:jc w:val="center"/>
              <w:rPr>
                <w:color w:val="auto"/>
                <w:kern w:val="0"/>
                <w:sz w:val="18"/>
                <w:szCs w:val="18"/>
              </w:rPr>
            </w:pPr>
            <w:r>
              <w:rPr>
                <w:color w:val="auto"/>
                <w:kern w:val="0"/>
                <w:sz w:val="18"/>
                <w:szCs w:val="18"/>
              </w:rPr>
              <w:t>1</w:t>
            </w:r>
          </w:p>
          <w:p>
            <w:pPr>
              <w:adjustRightInd w:val="0"/>
              <w:snapToGrid w:val="0"/>
              <w:jc w:val="center"/>
              <w:rPr>
                <w:color w:val="auto"/>
                <w:kern w:val="0"/>
                <w:sz w:val="18"/>
                <w:szCs w:val="18"/>
              </w:rPr>
            </w:pPr>
          </w:p>
        </w:tc>
        <w:tc>
          <w:tcPr>
            <w:tcW w:w="589" w:type="dxa"/>
            <w:vMerge w:val="restart"/>
            <w:vAlign w:val="center"/>
          </w:tcPr>
          <w:p>
            <w:pPr>
              <w:adjustRightInd w:val="0"/>
              <w:snapToGrid w:val="0"/>
              <w:jc w:val="center"/>
              <w:rPr>
                <w:color w:val="auto"/>
                <w:kern w:val="0"/>
                <w:sz w:val="18"/>
                <w:szCs w:val="18"/>
              </w:rPr>
            </w:pPr>
            <w:r>
              <w:rPr>
                <w:color w:val="auto"/>
                <w:kern w:val="0"/>
                <w:sz w:val="18"/>
                <w:szCs w:val="18"/>
              </w:rPr>
              <w:t>净浆凝结时间</w:t>
            </w:r>
          </w:p>
        </w:tc>
        <w:tc>
          <w:tcPr>
            <w:tcW w:w="961" w:type="dxa"/>
            <w:vAlign w:val="center"/>
          </w:tcPr>
          <w:p>
            <w:pPr>
              <w:adjustRightInd w:val="0"/>
              <w:snapToGrid w:val="0"/>
              <w:jc w:val="center"/>
              <w:rPr>
                <w:color w:val="auto"/>
                <w:kern w:val="0"/>
                <w:sz w:val="18"/>
                <w:szCs w:val="18"/>
              </w:rPr>
            </w:pPr>
            <w:r>
              <w:rPr>
                <w:color w:val="auto"/>
                <w:kern w:val="0"/>
                <w:sz w:val="18"/>
                <w:szCs w:val="18"/>
              </w:rPr>
              <w:t>初凝时间（min）</w:t>
            </w:r>
          </w:p>
        </w:tc>
        <w:tc>
          <w:tcPr>
            <w:tcW w:w="1667" w:type="dxa"/>
            <w:gridSpan w:val="2"/>
            <w:vAlign w:val="center"/>
          </w:tcPr>
          <w:p>
            <w:pPr>
              <w:adjustRightInd w:val="0"/>
              <w:snapToGrid w:val="0"/>
              <w:jc w:val="center"/>
              <w:rPr>
                <w:color w:val="auto"/>
                <w:sz w:val="18"/>
                <w:szCs w:val="18"/>
              </w:rPr>
            </w:pPr>
            <w:r>
              <w:rPr>
                <w:color w:val="auto"/>
                <w:sz w:val="18"/>
                <w:szCs w:val="18"/>
              </w:rPr>
              <w:t>≤5</w:t>
            </w:r>
          </w:p>
        </w:tc>
        <w:tc>
          <w:tcPr>
            <w:tcW w:w="1072" w:type="dxa"/>
            <w:vMerge w:val="restart"/>
            <w:vAlign w:val="center"/>
          </w:tcPr>
          <w:p>
            <w:pPr>
              <w:adjustRightInd w:val="0"/>
              <w:snapToGrid w:val="0"/>
              <w:jc w:val="center"/>
              <w:rPr>
                <w:color w:val="auto"/>
                <w:kern w:val="0"/>
                <w:sz w:val="18"/>
                <w:szCs w:val="18"/>
              </w:rPr>
            </w:pPr>
            <w:r>
              <w:rPr>
                <w:color w:val="auto"/>
                <w:kern w:val="0"/>
                <w:sz w:val="18"/>
                <w:szCs w:val="18"/>
              </w:rPr>
              <w:t>按</w:t>
            </w:r>
            <w:r>
              <w:rPr>
                <w:rFonts w:hint="eastAsia"/>
                <w:color w:val="auto"/>
                <w:kern w:val="0"/>
                <w:sz w:val="18"/>
                <w:szCs w:val="18"/>
              </w:rPr>
              <w:t>本</w:t>
            </w:r>
            <w:r>
              <w:rPr>
                <w:color w:val="auto"/>
                <w:kern w:val="0"/>
                <w:sz w:val="18"/>
                <w:szCs w:val="18"/>
              </w:rPr>
              <w:t>规程附录</w:t>
            </w:r>
            <w:r>
              <w:rPr>
                <w:rFonts w:hint="eastAsia"/>
                <w:color w:val="auto"/>
                <w:kern w:val="0"/>
                <w:sz w:val="18"/>
                <w:szCs w:val="18"/>
              </w:rPr>
              <w:t>A</w:t>
            </w:r>
            <w:r>
              <w:rPr>
                <w:color w:val="auto"/>
                <w:kern w:val="0"/>
                <w:sz w:val="18"/>
                <w:szCs w:val="18"/>
              </w:rPr>
              <w:t>检验</w:t>
            </w:r>
          </w:p>
        </w:tc>
        <w:tc>
          <w:tcPr>
            <w:tcW w:w="433" w:type="dxa"/>
            <w:vMerge w:val="restart"/>
            <w:vAlign w:val="center"/>
          </w:tcPr>
          <w:p>
            <w:pPr>
              <w:jc w:val="center"/>
              <w:rPr>
                <w:color w:val="auto"/>
                <w:kern w:val="0"/>
                <w:sz w:val="18"/>
                <w:szCs w:val="18"/>
              </w:rPr>
            </w:pPr>
          </w:p>
          <w:p>
            <w:pPr>
              <w:jc w:val="center"/>
              <w:rPr>
                <w:color w:val="auto"/>
                <w:sz w:val="18"/>
                <w:szCs w:val="18"/>
              </w:rPr>
            </w:pPr>
            <w:r>
              <w:rPr>
                <w:color w:val="auto"/>
                <w:kern w:val="0"/>
                <w:sz w:val="18"/>
                <w:szCs w:val="18"/>
              </w:rPr>
              <w:t>√</w:t>
            </w:r>
          </w:p>
        </w:tc>
        <w:tc>
          <w:tcPr>
            <w:tcW w:w="917" w:type="dxa"/>
            <w:vMerge w:val="restart"/>
            <w:vAlign w:val="center"/>
          </w:tcPr>
          <w:p>
            <w:pPr>
              <w:adjustRightInd w:val="0"/>
              <w:snapToGrid w:val="0"/>
              <w:jc w:val="center"/>
              <w:rPr>
                <w:color w:val="auto"/>
                <w:kern w:val="0"/>
                <w:sz w:val="18"/>
                <w:szCs w:val="18"/>
              </w:rPr>
            </w:pPr>
            <w:r>
              <w:rPr>
                <w:color w:val="auto"/>
                <w:kern w:val="0"/>
                <w:sz w:val="18"/>
                <w:szCs w:val="18"/>
              </w:rPr>
              <w:t>每品种、每厂家检查供应商提供的质量证明文件。</w:t>
            </w:r>
          </w:p>
          <w:p>
            <w:pPr>
              <w:adjustRightInd w:val="0"/>
              <w:snapToGrid w:val="0"/>
              <w:jc w:val="center"/>
              <w:rPr>
                <w:color w:val="auto"/>
                <w:kern w:val="0"/>
                <w:sz w:val="18"/>
                <w:szCs w:val="18"/>
              </w:rPr>
            </w:pPr>
            <w:r>
              <w:rPr>
                <w:color w:val="auto"/>
                <w:kern w:val="0"/>
                <w:sz w:val="18"/>
                <w:szCs w:val="18"/>
              </w:rPr>
              <w:t>施工单位、监理单位均全部检查。</w:t>
            </w:r>
          </w:p>
        </w:tc>
        <w:tc>
          <w:tcPr>
            <w:tcW w:w="411" w:type="dxa"/>
            <w:vMerge w:val="restart"/>
            <w:vAlign w:val="center"/>
          </w:tcPr>
          <w:p>
            <w:pPr>
              <w:adjustRightInd w:val="0"/>
              <w:snapToGrid w:val="0"/>
              <w:jc w:val="center"/>
              <w:rPr>
                <w:color w:val="auto"/>
                <w:kern w:val="0"/>
                <w:sz w:val="18"/>
                <w:szCs w:val="18"/>
              </w:rPr>
            </w:pPr>
            <w:r>
              <w:rPr>
                <w:color w:val="auto"/>
                <w:kern w:val="0"/>
                <w:sz w:val="18"/>
                <w:szCs w:val="18"/>
              </w:rPr>
              <w:t>√</w:t>
            </w:r>
          </w:p>
          <w:p>
            <w:pPr>
              <w:adjustRightInd w:val="0"/>
              <w:snapToGrid w:val="0"/>
              <w:jc w:val="center"/>
              <w:rPr>
                <w:color w:val="auto"/>
                <w:kern w:val="0"/>
                <w:sz w:val="18"/>
                <w:szCs w:val="18"/>
              </w:rPr>
            </w:pPr>
          </w:p>
        </w:tc>
        <w:tc>
          <w:tcPr>
            <w:tcW w:w="1283" w:type="dxa"/>
            <w:vMerge w:val="restart"/>
            <w:vAlign w:val="center"/>
          </w:tcPr>
          <w:p>
            <w:pPr>
              <w:adjustRightInd w:val="0"/>
              <w:snapToGrid w:val="0"/>
              <w:jc w:val="left"/>
              <w:rPr>
                <w:color w:val="auto"/>
                <w:kern w:val="0"/>
                <w:sz w:val="18"/>
                <w:szCs w:val="18"/>
              </w:rPr>
            </w:pPr>
            <w:r>
              <w:rPr>
                <w:color w:val="auto"/>
                <w:kern w:val="0"/>
                <w:sz w:val="18"/>
                <w:szCs w:val="18"/>
              </w:rPr>
              <w:t>下列情况之一时，检验一次：</w:t>
            </w:r>
          </w:p>
          <w:p>
            <w:pPr>
              <w:pStyle w:val="48"/>
              <w:numPr>
                <w:ilvl w:val="0"/>
                <w:numId w:val="12"/>
              </w:numPr>
              <w:adjustRightInd w:val="0"/>
              <w:snapToGrid w:val="0"/>
              <w:jc w:val="center"/>
              <w:rPr>
                <w:color w:val="auto"/>
                <w:kern w:val="0"/>
                <w:sz w:val="18"/>
                <w:szCs w:val="18"/>
              </w:rPr>
            </w:pPr>
            <w:r>
              <w:rPr>
                <w:color w:val="auto"/>
                <w:kern w:val="0"/>
                <w:sz w:val="18"/>
                <w:szCs w:val="18"/>
              </w:rPr>
              <w:t>任何新选料源；</w:t>
            </w:r>
          </w:p>
          <w:p>
            <w:pPr>
              <w:adjustRightInd w:val="0"/>
              <w:snapToGrid w:val="0"/>
              <w:jc w:val="left"/>
              <w:rPr>
                <w:color w:val="auto"/>
                <w:kern w:val="0"/>
                <w:sz w:val="18"/>
                <w:szCs w:val="18"/>
              </w:rPr>
            </w:pPr>
            <w:r>
              <w:rPr>
                <w:rFonts w:hint="eastAsia" w:ascii="宋体" w:hAnsi="宋体" w:cs="宋体"/>
                <w:color w:val="auto"/>
                <w:kern w:val="0"/>
                <w:sz w:val="18"/>
                <w:szCs w:val="18"/>
              </w:rPr>
              <w:t>②</w:t>
            </w:r>
            <w:r>
              <w:rPr>
                <w:color w:val="auto"/>
                <w:kern w:val="0"/>
                <w:sz w:val="18"/>
                <w:szCs w:val="18"/>
              </w:rPr>
              <w:t>使用同厂家、同品种的产品达</w:t>
            </w:r>
            <w:r>
              <w:rPr>
                <w:rFonts w:hint="eastAsia"/>
                <w:color w:val="auto"/>
                <w:kern w:val="0"/>
                <w:sz w:val="18"/>
                <w:szCs w:val="18"/>
              </w:rPr>
              <w:t>12</w:t>
            </w:r>
            <w:r>
              <w:rPr>
                <w:color w:val="auto"/>
                <w:kern w:val="0"/>
                <w:sz w:val="18"/>
                <w:szCs w:val="18"/>
              </w:rPr>
              <w:t>个月及出厂日期达</w:t>
            </w:r>
            <w:r>
              <w:rPr>
                <w:rFonts w:hint="eastAsia"/>
                <w:color w:val="auto"/>
                <w:kern w:val="0"/>
                <w:sz w:val="18"/>
                <w:szCs w:val="18"/>
              </w:rPr>
              <w:t>12个月</w:t>
            </w:r>
            <w:r>
              <w:rPr>
                <w:color w:val="auto"/>
                <w:kern w:val="0"/>
                <w:sz w:val="18"/>
                <w:szCs w:val="18"/>
              </w:rPr>
              <w:t>的产品。</w:t>
            </w:r>
          </w:p>
          <w:p>
            <w:pPr>
              <w:adjustRightInd w:val="0"/>
              <w:snapToGrid w:val="0"/>
              <w:jc w:val="left"/>
              <w:rPr>
                <w:color w:val="auto"/>
                <w:kern w:val="0"/>
                <w:sz w:val="18"/>
                <w:szCs w:val="18"/>
              </w:rPr>
            </w:pPr>
            <w:r>
              <w:rPr>
                <w:color w:val="auto"/>
                <w:kern w:val="0"/>
                <w:sz w:val="18"/>
                <w:szCs w:val="18"/>
              </w:rPr>
              <w:t>施工单位试验检验；监理单位平行检验。</w:t>
            </w:r>
          </w:p>
        </w:tc>
        <w:tc>
          <w:tcPr>
            <w:tcW w:w="434" w:type="dxa"/>
            <w:vMerge w:val="restart"/>
            <w:vAlign w:val="center"/>
          </w:tcPr>
          <w:p>
            <w:pPr>
              <w:jc w:val="center"/>
              <w:rPr>
                <w:color w:val="auto"/>
                <w:kern w:val="0"/>
                <w:sz w:val="18"/>
                <w:szCs w:val="18"/>
              </w:rPr>
            </w:pPr>
          </w:p>
          <w:p>
            <w:pPr>
              <w:jc w:val="center"/>
              <w:rPr>
                <w:color w:val="auto"/>
                <w:sz w:val="18"/>
                <w:szCs w:val="18"/>
              </w:rPr>
            </w:pPr>
            <w:r>
              <w:rPr>
                <w:color w:val="auto"/>
                <w:kern w:val="0"/>
                <w:sz w:val="18"/>
                <w:szCs w:val="18"/>
              </w:rPr>
              <w:t>√</w:t>
            </w:r>
          </w:p>
        </w:tc>
        <w:tc>
          <w:tcPr>
            <w:tcW w:w="950" w:type="dxa"/>
            <w:vMerge w:val="restart"/>
            <w:vAlign w:val="center"/>
          </w:tcPr>
          <w:p>
            <w:pPr>
              <w:adjustRightInd w:val="0"/>
              <w:snapToGrid w:val="0"/>
              <w:jc w:val="center"/>
              <w:rPr>
                <w:color w:val="auto"/>
                <w:kern w:val="0"/>
                <w:sz w:val="18"/>
                <w:szCs w:val="18"/>
              </w:rPr>
            </w:pPr>
            <w:r>
              <w:rPr>
                <w:color w:val="auto"/>
                <w:kern w:val="0"/>
                <w:sz w:val="18"/>
                <w:szCs w:val="18"/>
              </w:rPr>
              <w:t>同厂家、同品种、同编号的产品,每50t为一批，不足50t时按一批计。</w:t>
            </w:r>
          </w:p>
          <w:p>
            <w:pPr>
              <w:adjustRightInd w:val="0"/>
              <w:snapToGrid w:val="0"/>
              <w:jc w:val="left"/>
              <w:rPr>
                <w:color w:val="auto"/>
                <w:kern w:val="0"/>
                <w:sz w:val="18"/>
                <w:szCs w:val="18"/>
              </w:rPr>
            </w:pPr>
            <w:r>
              <w:rPr>
                <w:color w:val="auto"/>
                <w:kern w:val="0"/>
                <w:sz w:val="18"/>
                <w:szCs w:val="18"/>
              </w:rPr>
              <w:t>施工单位每批抽检一次；监理单位按施工单位抽检次数的10%进行平行检验，但不少于1次。</w:t>
            </w:r>
          </w:p>
          <w:p>
            <w:pPr>
              <w:adjustRightInd w:val="0"/>
              <w:snapToGrid w:val="0"/>
              <w:jc w:val="center"/>
              <w:rPr>
                <w:color w:val="auto"/>
                <w:kern w:val="0"/>
                <w:sz w:val="18"/>
                <w:szCs w:val="18"/>
              </w:rPr>
            </w:pPr>
            <w:r>
              <w:rPr>
                <w:color w:val="auto"/>
                <w:kern w:val="0"/>
                <w:sz w:val="18"/>
                <w:szCs w:val="18"/>
              </w:rPr>
              <w:t>速凝剂出厂日期达3个月。施工单位抽检一次，监理单位见证检验。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417" w:type="dxa"/>
            <w:vMerge w:val="continue"/>
            <w:vAlign w:val="center"/>
          </w:tcPr>
          <w:p>
            <w:pPr>
              <w:adjustRightInd w:val="0"/>
              <w:snapToGrid w:val="0"/>
              <w:jc w:val="center"/>
              <w:rPr>
                <w:color w:val="auto"/>
                <w:kern w:val="0"/>
                <w:sz w:val="18"/>
                <w:szCs w:val="18"/>
              </w:rPr>
            </w:pPr>
          </w:p>
        </w:tc>
        <w:tc>
          <w:tcPr>
            <w:tcW w:w="589" w:type="dxa"/>
            <w:vMerge w:val="continue"/>
            <w:vAlign w:val="center"/>
          </w:tcPr>
          <w:p>
            <w:pPr>
              <w:adjustRightInd w:val="0"/>
              <w:snapToGrid w:val="0"/>
              <w:jc w:val="center"/>
              <w:rPr>
                <w:color w:val="auto"/>
                <w:kern w:val="0"/>
                <w:sz w:val="18"/>
                <w:szCs w:val="18"/>
              </w:rPr>
            </w:pPr>
          </w:p>
        </w:tc>
        <w:tc>
          <w:tcPr>
            <w:tcW w:w="961" w:type="dxa"/>
            <w:vAlign w:val="center"/>
          </w:tcPr>
          <w:p>
            <w:pPr>
              <w:adjustRightInd w:val="0"/>
              <w:snapToGrid w:val="0"/>
              <w:jc w:val="center"/>
              <w:rPr>
                <w:color w:val="auto"/>
                <w:kern w:val="0"/>
                <w:sz w:val="18"/>
                <w:szCs w:val="18"/>
              </w:rPr>
            </w:pPr>
            <w:r>
              <w:rPr>
                <w:color w:val="auto"/>
                <w:kern w:val="0"/>
                <w:sz w:val="18"/>
                <w:szCs w:val="18"/>
              </w:rPr>
              <w:t>终凝时间（min）</w:t>
            </w:r>
          </w:p>
        </w:tc>
        <w:tc>
          <w:tcPr>
            <w:tcW w:w="1667" w:type="dxa"/>
            <w:gridSpan w:val="2"/>
            <w:vAlign w:val="center"/>
          </w:tcPr>
          <w:p>
            <w:pPr>
              <w:adjustRightInd w:val="0"/>
              <w:snapToGrid w:val="0"/>
              <w:jc w:val="center"/>
              <w:rPr>
                <w:color w:val="auto"/>
                <w:sz w:val="18"/>
                <w:szCs w:val="18"/>
              </w:rPr>
            </w:pPr>
            <w:r>
              <w:rPr>
                <w:color w:val="auto"/>
                <w:sz w:val="18"/>
                <w:szCs w:val="18"/>
              </w:rPr>
              <w:t>≤12</w:t>
            </w:r>
          </w:p>
        </w:tc>
        <w:tc>
          <w:tcPr>
            <w:tcW w:w="1072" w:type="dxa"/>
            <w:vMerge w:val="continue"/>
            <w:vAlign w:val="center"/>
          </w:tcPr>
          <w:p>
            <w:pPr>
              <w:adjustRightInd w:val="0"/>
              <w:snapToGrid w:val="0"/>
              <w:jc w:val="center"/>
              <w:rPr>
                <w:color w:val="auto"/>
                <w:kern w:val="0"/>
                <w:sz w:val="18"/>
                <w:szCs w:val="18"/>
              </w:rPr>
            </w:pPr>
          </w:p>
        </w:tc>
        <w:tc>
          <w:tcPr>
            <w:tcW w:w="433" w:type="dxa"/>
            <w:vMerge w:val="continue"/>
            <w:vAlign w:val="center"/>
          </w:tcPr>
          <w:p>
            <w:pPr>
              <w:jc w:val="center"/>
              <w:rPr>
                <w:color w:val="auto"/>
                <w:sz w:val="18"/>
                <w:szCs w:val="18"/>
              </w:rPr>
            </w:pPr>
          </w:p>
        </w:tc>
        <w:tc>
          <w:tcPr>
            <w:tcW w:w="917" w:type="dxa"/>
            <w:vMerge w:val="continue"/>
            <w:vAlign w:val="center"/>
          </w:tcPr>
          <w:p>
            <w:pPr>
              <w:adjustRightInd w:val="0"/>
              <w:snapToGrid w:val="0"/>
              <w:jc w:val="center"/>
              <w:rPr>
                <w:color w:val="auto"/>
                <w:kern w:val="0"/>
                <w:sz w:val="18"/>
                <w:szCs w:val="18"/>
              </w:rPr>
            </w:pPr>
          </w:p>
        </w:tc>
        <w:tc>
          <w:tcPr>
            <w:tcW w:w="411" w:type="dxa"/>
            <w:vMerge w:val="continue"/>
            <w:vAlign w:val="center"/>
          </w:tcPr>
          <w:p>
            <w:pPr>
              <w:adjustRightInd w:val="0"/>
              <w:snapToGrid w:val="0"/>
              <w:jc w:val="center"/>
              <w:rPr>
                <w:color w:val="auto"/>
                <w:kern w:val="0"/>
                <w:sz w:val="18"/>
                <w:szCs w:val="18"/>
              </w:rPr>
            </w:pPr>
          </w:p>
        </w:tc>
        <w:tc>
          <w:tcPr>
            <w:tcW w:w="1283" w:type="dxa"/>
            <w:vMerge w:val="continue"/>
            <w:vAlign w:val="center"/>
          </w:tcPr>
          <w:p>
            <w:pPr>
              <w:adjustRightInd w:val="0"/>
              <w:snapToGrid w:val="0"/>
              <w:jc w:val="center"/>
              <w:rPr>
                <w:color w:val="auto"/>
                <w:kern w:val="0"/>
                <w:sz w:val="18"/>
                <w:szCs w:val="18"/>
              </w:rPr>
            </w:pPr>
          </w:p>
        </w:tc>
        <w:tc>
          <w:tcPr>
            <w:tcW w:w="434" w:type="dxa"/>
            <w:vMerge w:val="continue"/>
            <w:vAlign w:val="center"/>
          </w:tcPr>
          <w:p>
            <w:pPr>
              <w:jc w:val="center"/>
              <w:rPr>
                <w:color w:val="auto"/>
                <w:sz w:val="18"/>
                <w:szCs w:val="18"/>
              </w:rPr>
            </w:pPr>
          </w:p>
        </w:tc>
        <w:tc>
          <w:tcPr>
            <w:tcW w:w="950" w:type="dxa"/>
            <w:vMerge w:val="continue"/>
            <w:vAlign w:val="center"/>
          </w:tcPr>
          <w:p>
            <w:pPr>
              <w:adjustRightInd w:val="0"/>
              <w:snapToGrid w:val="0"/>
              <w:jc w:val="center"/>
              <w:rPr>
                <w:color w:val="auto"/>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2" w:hRule="atLeast"/>
          <w:jc w:val="center"/>
        </w:trPr>
        <w:tc>
          <w:tcPr>
            <w:tcW w:w="417" w:type="dxa"/>
            <w:vMerge w:val="restart"/>
            <w:vAlign w:val="center"/>
          </w:tcPr>
          <w:p>
            <w:pPr>
              <w:adjustRightInd w:val="0"/>
              <w:snapToGrid w:val="0"/>
              <w:jc w:val="center"/>
              <w:rPr>
                <w:color w:val="auto"/>
                <w:sz w:val="18"/>
                <w:szCs w:val="18"/>
              </w:rPr>
            </w:pPr>
            <w:r>
              <w:rPr>
                <w:color w:val="auto"/>
                <w:sz w:val="18"/>
                <w:szCs w:val="18"/>
              </w:rPr>
              <w:t>2</w:t>
            </w:r>
          </w:p>
        </w:tc>
        <w:tc>
          <w:tcPr>
            <w:tcW w:w="589" w:type="dxa"/>
            <w:vMerge w:val="restart"/>
            <w:vAlign w:val="center"/>
          </w:tcPr>
          <w:p>
            <w:pPr>
              <w:adjustRightInd w:val="0"/>
              <w:snapToGrid w:val="0"/>
              <w:jc w:val="center"/>
              <w:rPr>
                <w:color w:val="auto"/>
                <w:sz w:val="18"/>
                <w:szCs w:val="18"/>
              </w:rPr>
            </w:pPr>
            <w:r>
              <w:rPr>
                <w:color w:val="auto"/>
                <w:sz w:val="18"/>
                <w:szCs w:val="18"/>
              </w:rPr>
              <w:t>砂浆强度</w:t>
            </w:r>
          </w:p>
        </w:tc>
        <w:tc>
          <w:tcPr>
            <w:tcW w:w="961" w:type="dxa"/>
            <w:vAlign w:val="center"/>
          </w:tcPr>
          <w:p>
            <w:pPr>
              <w:adjustRightInd w:val="0"/>
              <w:snapToGrid w:val="0"/>
              <w:jc w:val="center"/>
              <w:rPr>
                <w:color w:val="auto"/>
                <w:kern w:val="0"/>
                <w:sz w:val="18"/>
                <w:szCs w:val="18"/>
              </w:rPr>
            </w:pPr>
            <w:r>
              <w:rPr>
                <w:color w:val="auto"/>
                <w:kern w:val="0"/>
                <w:sz w:val="18"/>
                <w:szCs w:val="18"/>
              </w:rPr>
              <w:t>1d抗压强度(MPa)</w:t>
            </w:r>
          </w:p>
        </w:tc>
        <w:tc>
          <w:tcPr>
            <w:tcW w:w="1667" w:type="dxa"/>
            <w:gridSpan w:val="2"/>
            <w:vAlign w:val="center"/>
          </w:tcPr>
          <w:p>
            <w:pPr>
              <w:adjustRightInd w:val="0"/>
              <w:snapToGrid w:val="0"/>
              <w:jc w:val="center"/>
              <w:rPr>
                <w:color w:val="auto"/>
                <w:sz w:val="18"/>
                <w:szCs w:val="18"/>
              </w:rPr>
            </w:pPr>
            <w:r>
              <w:rPr>
                <w:color w:val="auto"/>
                <w:sz w:val="18"/>
                <w:szCs w:val="18"/>
              </w:rPr>
              <w:t>≥7.0</w:t>
            </w:r>
          </w:p>
        </w:tc>
        <w:tc>
          <w:tcPr>
            <w:tcW w:w="1072" w:type="dxa"/>
            <w:vMerge w:val="restart"/>
            <w:vAlign w:val="center"/>
          </w:tcPr>
          <w:p>
            <w:pPr>
              <w:adjustRightInd w:val="0"/>
              <w:snapToGrid w:val="0"/>
              <w:jc w:val="center"/>
              <w:rPr>
                <w:color w:val="auto"/>
                <w:kern w:val="0"/>
                <w:sz w:val="18"/>
                <w:szCs w:val="18"/>
              </w:rPr>
            </w:pPr>
            <w:r>
              <w:rPr>
                <w:color w:val="auto"/>
                <w:kern w:val="0"/>
                <w:sz w:val="18"/>
                <w:szCs w:val="18"/>
              </w:rPr>
              <w:t>按GB/T 35159-2017附录E检验</w:t>
            </w:r>
          </w:p>
        </w:tc>
        <w:tc>
          <w:tcPr>
            <w:tcW w:w="433" w:type="dxa"/>
            <w:vMerge w:val="restart"/>
            <w:vAlign w:val="center"/>
          </w:tcPr>
          <w:p>
            <w:pPr>
              <w:jc w:val="center"/>
              <w:rPr>
                <w:color w:val="auto"/>
                <w:sz w:val="18"/>
                <w:szCs w:val="18"/>
              </w:rPr>
            </w:pPr>
            <w:r>
              <w:rPr>
                <w:color w:val="auto"/>
                <w:kern w:val="0"/>
                <w:sz w:val="18"/>
                <w:szCs w:val="18"/>
              </w:rPr>
              <w:t>√</w:t>
            </w:r>
          </w:p>
          <w:p>
            <w:pPr>
              <w:jc w:val="center"/>
              <w:rPr>
                <w:color w:val="auto"/>
                <w:kern w:val="0"/>
                <w:sz w:val="18"/>
                <w:szCs w:val="18"/>
              </w:rPr>
            </w:pPr>
          </w:p>
        </w:tc>
        <w:tc>
          <w:tcPr>
            <w:tcW w:w="917" w:type="dxa"/>
            <w:vMerge w:val="continue"/>
          </w:tcPr>
          <w:p>
            <w:pPr>
              <w:ind w:right="29" w:rightChars="12"/>
              <w:jc w:val="center"/>
              <w:rPr>
                <w:color w:val="auto"/>
                <w:sz w:val="18"/>
                <w:szCs w:val="18"/>
              </w:rPr>
            </w:pPr>
          </w:p>
        </w:tc>
        <w:tc>
          <w:tcPr>
            <w:tcW w:w="411" w:type="dxa"/>
            <w:vMerge w:val="restart"/>
            <w:vAlign w:val="center"/>
          </w:tcPr>
          <w:p>
            <w:pPr>
              <w:rPr>
                <w:color w:val="auto"/>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vMerge w:val="restart"/>
            <w:vAlign w:val="center"/>
          </w:tcPr>
          <w:p>
            <w:pPr>
              <w:rPr>
                <w:color w:val="auto"/>
                <w:sz w:val="18"/>
                <w:szCs w:val="18"/>
              </w:rPr>
            </w:pPr>
            <w:r>
              <w:rPr>
                <w:color w:val="auto"/>
                <w:kern w:val="0"/>
                <w:sz w:val="18"/>
                <w:szCs w:val="18"/>
              </w:rPr>
              <w:t>√</w:t>
            </w: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06" w:hRule="atLeast"/>
          <w:jc w:val="center"/>
        </w:trPr>
        <w:tc>
          <w:tcPr>
            <w:tcW w:w="417" w:type="dxa"/>
            <w:vMerge w:val="continue"/>
            <w:vAlign w:val="center"/>
          </w:tcPr>
          <w:p>
            <w:pPr>
              <w:adjustRightInd w:val="0"/>
              <w:snapToGrid w:val="0"/>
              <w:jc w:val="center"/>
              <w:rPr>
                <w:color w:val="auto"/>
                <w:sz w:val="18"/>
                <w:szCs w:val="18"/>
              </w:rPr>
            </w:pPr>
          </w:p>
        </w:tc>
        <w:tc>
          <w:tcPr>
            <w:tcW w:w="589" w:type="dxa"/>
            <w:vMerge w:val="continue"/>
            <w:vAlign w:val="center"/>
          </w:tcPr>
          <w:p>
            <w:pPr>
              <w:jc w:val="center"/>
              <w:rPr>
                <w:color w:val="auto"/>
                <w:sz w:val="18"/>
                <w:szCs w:val="18"/>
              </w:rPr>
            </w:pPr>
          </w:p>
        </w:tc>
        <w:tc>
          <w:tcPr>
            <w:tcW w:w="961" w:type="dxa"/>
            <w:vAlign w:val="center"/>
          </w:tcPr>
          <w:p>
            <w:pPr>
              <w:jc w:val="center"/>
              <w:rPr>
                <w:color w:val="auto"/>
                <w:sz w:val="18"/>
                <w:szCs w:val="18"/>
              </w:rPr>
            </w:pPr>
            <w:r>
              <w:rPr>
                <w:color w:val="auto"/>
                <w:kern w:val="0"/>
                <w:sz w:val="18"/>
                <w:szCs w:val="18"/>
              </w:rPr>
              <w:t>28d抗压强度比（%）</w:t>
            </w:r>
          </w:p>
        </w:tc>
        <w:tc>
          <w:tcPr>
            <w:tcW w:w="800" w:type="dxa"/>
            <w:vAlign w:val="center"/>
          </w:tcPr>
          <w:p>
            <w:pPr>
              <w:adjustRightInd w:val="0"/>
              <w:snapToGrid w:val="0"/>
              <w:jc w:val="center"/>
              <w:rPr>
                <w:color w:val="auto"/>
                <w:kern w:val="0"/>
                <w:sz w:val="18"/>
                <w:szCs w:val="18"/>
              </w:rPr>
            </w:pPr>
            <w:r>
              <w:rPr>
                <w:color w:val="auto"/>
                <w:sz w:val="18"/>
                <w:szCs w:val="18"/>
              </w:rPr>
              <w:t>≥90</w:t>
            </w:r>
          </w:p>
        </w:tc>
        <w:tc>
          <w:tcPr>
            <w:tcW w:w="867" w:type="dxa"/>
            <w:vAlign w:val="center"/>
          </w:tcPr>
          <w:p>
            <w:pPr>
              <w:adjustRightInd w:val="0"/>
              <w:snapToGrid w:val="0"/>
              <w:jc w:val="center"/>
              <w:rPr>
                <w:color w:val="auto"/>
                <w:kern w:val="0"/>
                <w:sz w:val="18"/>
                <w:szCs w:val="18"/>
              </w:rPr>
            </w:pPr>
            <w:r>
              <w:rPr>
                <w:color w:val="auto"/>
                <w:sz w:val="18"/>
                <w:szCs w:val="18"/>
              </w:rPr>
              <w:t>≥70</w:t>
            </w:r>
          </w:p>
        </w:tc>
        <w:tc>
          <w:tcPr>
            <w:tcW w:w="1072" w:type="dxa"/>
            <w:vMerge w:val="continue"/>
            <w:vAlign w:val="center"/>
          </w:tcPr>
          <w:p>
            <w:pPr>
              <w:adjustRightInd w:val="0"/>
              <w:snapToGrid w:val="0"/>
              <w:jc w:val="center"/>
              <w:rPr>
                <w:color w:val="auto"/>
                <w:kern w:val="0"/>
                <w:sz w:val="18"/>
                <w:szCs w:val="18"/>
              </w:rPr>
            </w:pPr>
          </w:p>
        </w:tc>
        <w:tc>
          <w:tcPr>
            <w:tcW w:w="433" w:type="dxa"/>
            <w:vAlign w:val="center"/>
          </w:tcPr>
          <w:p>
            <w:pPr>
              <w:jc w:val="center"/>
              <w:rPr>
                <w:color w:val="auto"/>
                <w:sz w:val="18"/>
                <w:szCs w:val="18"/>
              </w:rPr>
            </w:pPr>
            <w:r>
              <w:rPr>
                <w:color w:val="auto"/>
                <w:kern w:val="0"/>
                <w:sz w:val="18"/>
                <w:szCs w:val="18"/>
              </w:rPr>
              <w:t>√</w:t>
            </w:r>
          </w:p>
          <w:p>
            <w:pPr>
              <w:jc w:val="center"/>
              <w:rPr>
                <w:color w:val="auto"/>
                <w:sz w:val="18"/>
                <w:szCs w:val="18"/>
              </w:rPr>
            </w:pPr>
          </w:p>
        </w:tc>
        <w:tc>
          <w:tcPr>
            <w:tcW w:w="917" w:type="dxa"/>
            <w:vMerge w:val="continue"/>
          </w:tcPr>
          <w:p>
            <w:pPr>
              <w:ind w:right="29" w:rightChars="12"/>
              <w:jc w:val="center"/>
              <w:rPr>
                <w:color w:val="auto"/>
                <w:sz w:val="18"/>
                <w:szCs w:val="18"/>
              </w:rPr>
            </w:pPr>
          </w:p>
        </w:tc>
        <w:tc>
          <w:tcPr>
            <w:tcW w:w="411" w:type="dxa"/>
            <w:vAlign w:val="center"/>
          </w:tcPr>
          <w:p>
            <w:pPr>
              <w:jc w:val="center"/>
              <w:rPr>
                <w:color w:val="auto"/>
                <w:sz w:val="18"/>
                <w:szCs w:val="18"/>
              </w:rPr>
            </w:pPr>
            <w:r>
              <w:rPr>
                <w:color w:val="auto"/>
                <w:kern w:val="0"/>
                <w:sz w:val="18"/>
                <w:szCs w:val="18"/>
              </w:rPr>
              <w:t>√</w:t>
            </w:r>
          </w:p>
          <w:p>
            <w:pPr>
              <w:jc w:val="center"/>
              <w:rPr>
                <w:color w:val="auto"/>
                <w:sz w:val="18"/>
                <w:szCs w:val="18"/>
              </w:rPr>
            </w:pP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sz w:val="18"/>
                <w:szCs w:val="18"/>
              </w:rPr>
            </w:pPr>
            <w:r>
              <w:rPr>
                <w:color w:val="auto"/>
                <w:kern w:val="0"/>
                <w:sz w:val="18"/>
                <w:szCs w:val="18"/>
              </w:rPr>
              <w:t>√</w:t>
            </w:r>
          </w:p>
          <w:p>
            <w:pPr>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417" w:type="dxa"/>
            <w:vMerge w:val="continue"/>
            <w:vAlign w:val="center"/>
          </w:tcPr>
          <w:p>
            <w:pPr>
              <w:adjustRightInd w:val="0"/>
              <w:snapToGrid w:val="0"/>
              <w:jc w:val="center"/>
              <w:rPr>
                <w:color w:val="auto"/>
                <w:sz w:val="18"/>
                <w:szCs w:val="18"/>
              </w:rPr>
            </w:pPr>
          </w:p>
        </w:tc>
        <w:tc>
          <w:tcPr>
            <w:tcW w:w="589" w:type="dxa"/>
            <w:vMerge w:val="continue"/>
            <w:vAlign w:val="center"/>
          </w:tcPr>
          <w:p>
            <w:pPr>
              <w:jc w:val="center"/>
              <w:rPr>
                <w:color w:val="auto"/>
                <w:sz w:val="18"/>
                <w:szCs w:val="18"/>
              </w:rPr>
            </w:pPr>
          </w:p>
        </w:tc>
        <w:tc>
          <w:tcPr>
            <w:tcW w:w="961" w:type="dxa"/>
            <w:vAlign w:val="center"/>
          </w:tcPr>
          <w:p>
            <w:pPr>
              <w:jc w:val="center"/>
              <w:rPr>
                <w:color w:val="auto"/>
                <w:sz w:val="18"/>
                <w:szCs w:val="18"/>
              </w:rPr>
            </w:pPr>
            <w:r>
              <w:rPr>
                <w:color w:val="auto"/>
                <w:kern w:val="0"/>
                <w:sz w:val="18"/>
                <w:szCs w:val="18"/>
              </w:rPr>
              <w:t>90d抗压强度保留值（%）</w:t>
            </w:r>
          </w:p>
        </w:tc>
        <w:tc>
          <w:tcPr>
            <w:tcW w:w="800" w:type="dxa"/>
            <w:vAlign w:val="center"/>
          </w:tcPr>
          <w:p>
            <w:pPr>
              <w:adjustRightInd w:val="0"/>
              <w:snapToGrid w:val="0"/>
              <w:jc w:val="center"/>
              <w:rPr>
                <w:color w:val="auto"/>
                <w:kern w:val="0"/>
                <w:sz w:val="18"/>
                <w:szCs w:val="18"/>
              </w:rPr>
            </w:pPr>
            <w:r>
              <w:rPr>
                <w:color w:val="auto"/>
                <w:sz w:val="18"/>
                <w:szCs w:val="18"/>
              </w:rPr>
              <w:t>≥100</w:t>
            </w:r>
          </w:p>
        </w:tc>
        <w:tc>
          <w:tcPr>
            <w:tcW w:w="867" w:type="dxa"/>
            <w:vAlign w:val="center"/>
          </w:tcPr>
          <w:p>
            <w:pPr>
              <w:adjustRightInd w:val="0"/>
              <w:snapToGrid w:val="0"/>
              <w:jc w:val="center"/>
              <w:rPr>
                <w:color w:val="auto"/>
                <w:kern w:val="0"/>
                <w:sz w:val="18"/>
                <w:szCs w:val="18"/>
              </w:rPr>
            </w:pPr>
            <w:r>
              <w:rPr>
                <w:color w:val="auto"/>
                <w:sz w:val="18"/>
                <w:szCs w:val="18"/>
              </w:rPr>
              <w:t>≥70</w:t>
            </w:r>
          </w:p>
        </w:tc>
        <w:tc>
          <w:tcPr>
            <w:tcW w:w="1072" w:type="dxa"/>
            <w:vMerge w:val="continue"/>
            <w:vAlign w:val="center"/>
          </w:tcPr>
          <w:p>
            <w:pPr>
              <w:adjustRightInd w:val="0"/>
              <w:snapToGrid w:val="0"/>
              <w:jc w:val="center"/>
              <w:rPr>
                <w:color w:val="auto"/>
                <w:kern w:val="0"/>
                <w:sz w:val="18"/>
                <w:szCs w:val="18"/>
              </w:rPr>
            </w:pPr>
          </w:p>
        </w:tc>
        <w:tc>
          <w:tcPr>
            <w:tcW w:w="433" w:type="dxa"/>
            <w:vAlign w:val="center"/>
          </w:tcPr>
          <w:p>
            <w:pPr>
              <w:jc w:val="center"/>
              <w:rPr>
                <w:color w:val="auto"/>
                <w:sz w:val="18"/>
                <w:szCs w:val="18"/>
              </w:rPr>
            </w:pPr>
            <w:r>
              <w:rPr>
                <w:color w:val="auto"/>
                <w:kern w:val="0"/>
                <w:sz w:val="18"/>
                <w:szCs w:val="18"/>
              </w:rPr>
              <w:t>√</w:t>
            </w:r>
          </w:p>
          <w:p>
            <w:pPr>
              <w:jc w:val="center"/>
              <w:rPr>
                <w:color w:val="auto"/>
                <w:sz w:val="18"/>
                <w:szCs w:val="18"/>
              </w:rPr>
            </w:pPr>
          </w:p>
        </w:tc>
        <w:tc>
          <w:tcPr>
            <w:tcW w:w="917" w:type="dxa"/>
            <w:vMerge w:val="continue"/>
            <w:vAlign w:val="center"/>
          </w:tcPr>
          <w:p>
            <w:pPr>
              <w:ind w:right="29" w:rightChars="12"/>
              <w:jc w:val="center"/>
              <w:rPr>
                <w:color w:val="auto"/>
                <w:sz w:val="18"/>
                <w:szCs w:val="18"/>
              </w:rPr>
            </w:pPr>
          </w:p>
        </w:tc>
        <w:tc>
          <w:tcPr>
            <w:tcW w:w="411" w:type="dxa"/>
            <w:vAlign w:val="center"/>
          </w:tcPr>
          <w:p>
            <w:pPr>
              <w:jc w:val="center"/>
              <w:rPr>
                <w:color w:val="auto"/>
                <w:sz w:val="18"/>
                <w:szCs w:val="18"/>
              </w:rPr>
            </w:pPr>
            <w:r>
              <w:rPr>
                <w:color w:val="auto"/>
                <w:kern w:val="0"/>
                <w:sz w:val="18"/>
                <w:szCs w:val="18"/>
              </w:rPr>
              <w:t>√</w:t>
            </w:r>
          </w:p>
          <w:p>
            <w:pPr>
              <w:jc w:val="center"/>
              <w:rPr>
                <w:color w:val="auto"/>
                <w:sz w:val="18"/>
                <w:szCs w:val="18"/>
              </w:rPr>
            </w:pP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3</w:t>
            </w:r>
          </w:p>
        </w:tc>
        <w:tc>
          <w:tcPr>
            <w:tcW w:w="1550" w:type="dxa"/>
            <w:gridSpan w:val="2"/>
            <w:vAlign w:val="center"/>
          </w:tcPr>
          <w:p>
            <w:pPr>
              <w:adjustRightInd w:val="0"/>
              <w:snapToGrid w:val="0"/>
              <w:ind w:left="-120" w:leftChars="-50" w:right="-120" w:rightChars="-50"/>
              <w:jc w:val="center"/>
              <w:rPr>
                <w:color w:val="auto"/>
                <w:kern w:val="0"/>
                <w:sz w:val="18"/>
                <w:szCs w:val="18"/>
              </w:rPr>
            </w:pPr>
            <w:r>
              <w:rPr>
                <w:color w:val="auto"/>
                <w:kern w:val="0"/>
                <w:sz w:val="18"/>
                <w:szCs w:val="18"/>
              </w:rPr>
              <w:t>密度(g/cm</w:t>
            </w:r>
            <w:r>
              <w:rPr>
                <w:color w:val="auto"/>
                <w:kern w:val="0"/>
                <w:sz w:val="18"/>
                <w:szCs w:val="18"/>
                <w:vertAlign w:val="superscript"/>
              </w:rPr>
              <w:t>3</w:t>
            </w:r>
            <w:r>
              <w:rPr>
                <w:color w:val="auto"/>
                <w:kern w:val="0"/>
                <w:sz w:val="18"/>
                <w:szCs w:val="18"/>
              </w:rPr>
              <w:t>)</w:t>
            </w:r>
          </w:p>
        </w:tc>
        <w:tc>
          <w:tcPr>
            <w:tcW w:w="1667" w:type="dxa"/>
            <w:gridSpan w:val="2"/>
            <w:vAlign w:val="center"/>
          </w:tcPr>
          <w:p>
            <w:pPr>
              <w:adjustRightInd w:val="0"/>
              <w:snapToGrid w:val="0"/>
              <w:jc w:val="center"/>
              <w:rPr>
                <w:color w:val="auto"/>
                <w:kern w:val="0"/>
                <w:sz w:val="18"/>
                <w:szCs w:val="18"/>
              </w:rPr>
            </w:pPr>
            <w:r>
              <w:rPr>
                <w:color w:val="auto"/>
                <w:kern w:val="0"/>
                <w:sz w:val="18"/>
                <w:szCs w:val="18"/>
              </w:rPr>
              <w:t>D＞1.1时，应控制在D±0.03;</w:t>
            </w:r>
          </w:p>
          <w:p>
            <w:pPr>
              <w:adjustRightInd w:val="0"/>
              <w:snapToGrid w:val="0"/>
              <w:jc w:val="center"/>
              <w:rPr>
                <w:color w:val="auto"/>
                <w:kern w:val="0"/>
                <w:sz w:val="18"/>
                <w:szCs w:val="18"/>
              </w:rPr>
            </w:pPr>
            <w:r>
              <w:rPr>
                <w:color w:val="auto"/>
                <w:kern w:val="0"/>
                <w:sz w:val="18"/>
                <w:szCs w:val="18"/>
              </w:rPr>
              <w:t>D≤1.1时，应控制在D±0.02</w:t>
            </w:r>
          </w:p>
        </w:tc>
        <w:tc>
          <w:tcPr>
            <w:tcW w:w="1072" w:type="dxa"/>
            <w:vAlign w:val="center"/>
          </w:tcPr>
          <w:p>
            <w:pPr>
              <w:jc w:val="center"/>
              <w:rPr>
                <w:color w:val="auto"/>
                <w:sz w:val="18"/>
                <w:szCs w:val="18"/>
              </w:rPr>
            </w:pPr>
            <w:r>
              <w:rPr>
                <w:color w:val="auto"/>
                <w:kern w:val="0"/>
                <w:sz w:val="18"/>
                <w:szCs w:val="18"/>
              </w:rPr>
              <w:t>按GB 8077检验</w:t>
            </w:r>
          </w:p>
        </w:tc>
        <w:tc>
          <w:tcPr>
            <w:tcW w:w="433" w:type="dxa"/>
            <w:vAlign w:val="center"/>
          </w:tcPr>
          <w:p>
            <w:pPr>
              <w:ind w:left="-120" w:leftChars="-50" w:right="-120" w:rightChars="-50"/>
              <w:jc w:val="center"/>
              <w:rPr>
                <w:color w:val="auto"/>
                <w:kern w:val="0"/>
                <w:sz w:val="18"/>
                <w:szCs w:val="18"/>
              </w:rPr>
            </w:pPr>
            <w:r>
              <w:rPr>
                <w:color w:val="auto"/>
                <w:kern w:val="0"/>
                <w:sz w:val="18"/>
                <w:szCs w:val="18"/>
              </w:rPr>
              <w:t>√</w:t>
            </w:r>
          </w:p>
        </w:tc>
        <w:tc>
          <w:tcPr>
            <w:tcW w:w="917" w:type="dxa"/>
            <w:vMerge w:val="continue"/>
            <w:vAlign w:val="center"/>
          </w:tcPr>
          <w:p>
            <w:pPr>
              <w:ind w:right="29" w:rightChars="12"/>
              <w:jc w:val="center"/>
              <w:rPr>
                <w:color w:val="auto"/>
                <w:sz w:val="18"/>
                <w:szCs w:val="18"/>
              </w:rPr>
            </w:pPr>
          </w:p>
        </w:tc>
        <w:tc>
          <w:tcPr>
            <w:tcW w:w="411" w:type="dxa"/>
            <w:vAlign w:val="center"/>
          </w:tcPr>
          <w:p>
            <w:pPr>
              <w:jc w:val="center"/>
              <w:rPr>
                <w:color w:val="auto"/>
                <w:kern w:val="0"/>
                <w:sz w:val="18"/>
                <w:szCs w:val="18"/>
              </w:rPr>
            </w:pPr>
          </w:p>
          <w:p>
            <w:pPr>
              <w:jc w:val="center"/>
              <w:rPr>
                <w:color w:val="auto"/>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4</w:t>
            </w:r>
          </w:p>
        </w:tc>
        <w:tc>
          <w:tcPr>
            <w:tcW w:w="1550" w:type="dxa"/>
            <w:gridSpan w:val="2"/>
            <w:vAlign w:val="center"/>
          </w:tcPr>
          <w:p>
            <w:pPr>
              <w:jc w:val="center"/>
              <w:rPr>
                <w:color w:val="auto"/>
                <w:sz w:val="18"/>
                <w:szCs w:val="18"/>
              </w:rPr>
            </w:pPr>
            <w:r>
              <w:rPr>
                <w:color w:val="auto"/>
                <w:sz w:val="18"/>
                <w:szCs w:val="18"/>
              </w:rPr>
              <w:t>pH值</w:t>
            </w:r>
          </w:p>
        </w:tc>
        <w:tc>
          <w:tcPr>
            <w:tcW w:w="1667" w:type="dxa"/>
            <w:gridSpan w:val="2"/>
            <w:vAlign w:val="center"/>
          </w:tcPr>
          <w:p>
            <w:pPr>
              <w:jc w:val="center"/>
              <w:rPr>
                <w:color w:val="auto"/>
                <w:sz w:val="18"/>
                <w:szCs w:val="18"/>
              </w:rPr>
            </w:pPr>
            <w:r>
              <w:rPr>
                <w:color w:val="auto"/>
                <w:sz w:val="18"/>
                <w:szCs w:val="18"/>
              </w:rPr>
              <w:t>≥2.0，且应在产厂控制值的±1之内</w:t>
            </w:r>
          </w:p>
        </w:tc>
        <w:tc>
          <w:tcPr>
            <w:tcW w:w="1072" w:type="dxa"/>
            <w:vAlign w:val="center"/>
          </w:tcPr>
          <w:p>
            <w:pPr>
              <w:jc w:val="center"/>
              <w:rPr>
                <w:color w:val="auto"/>
                <w:sz w:val="18"/>
                <w:szCs w:val="18"/>
              </w:rPr>
            </w:pPr>
            <w:r>
              <w:rPr>
                <w:color w:val="auto"/>
                <w:kern w:val="0"/>
                <w:sz w:val="18"/>
                <w:szCs w:val="18"/>
              </w:rPr>
              <w:t>按GB 8077检验</w:t>
            </w:r>
          </w:p>
        </w:tc>
        <w:tc>
          <w:tcPr>
            <w:tcW w:w="433" w:type="dxa"/>
            <w:vAlign w:val="center"/>
          </w:tcPr>
          <w:p>
            <w:pPr>
              <w:jc w:val="center"/>
              <w:rPr>
                <w:color w:val="auto"/>
                <w:kern w:val="0"/>
                <w:sz w:val="18"/>
                <w:szCs w:val="18"/>
              </w:rPr>
            </w:pPr>
          </w:p>
          <w:p>
            <w:pPr>
              <w:jc w:val="center"/>
              <w:rPr>
                <w:color w:val="auto"/>
                <w:sz w:val="18"/>
                <w:szCs w:val="18"/>
              </w:rPr>
            </w:pPr>
            <w:r>
              <w:rPr>
                <w:color w:val="auto"/>
                <w:kern w:val="0"/>
                <w:sz w:val="18"/>
                <w:szCs w:val="18"/>
              </w:rPr>
              <w:t>√</w:t>
            </w:r>
          </w:p>
        </w:tc>
        <w:tc>
          <w:tcPr>
            <w:tcW w:w="917" w:type="dxa"/>
            <w:vMerge w:val="continue"/>
          </w:tcPr>
          <w:p>
            <w:pPr>
              <w:ind w:right="29" w:rightChars="12"/>
              <w:jc w:val="center"/>
              <w:rPr>
                <w:color w:val="auto"/>
                <w:sz w:val="18"/>
                <w:szCs w:val="18"/>
              </w:rPr>
            </w:pPr>
          </w:p>
        </w:tc>
        <w:tc>
          <w:tcPr>
            <w:tcW w:w="411" w:type="dxa"/>
            <w:vAlign w:val="center"/>
          </w:tcPr>
          <w:p>
            <w:pPr>
              <w:jc w:val="center"/>
              <w:rPr>
                <w:color w:val="auto"/>
                <w:kern w:val="0"/>
                <w:sz w:val="18"/>
                <w:szCs w:val="18"/>
              </w:rPr>
            </w:pPr>
            <w:r>
              <w:rPr>
                <w:color w:val="auto"/>
                <w:kern w:val="0"/>
                <w:sz w:val="18"/>
                <w:szCs w:val="18"/>
              </w:rPr>
              <w:t>√</w:t>
            </w:r>
          </w:p>
          <w:p>
            <w:pPr>
              <w:jc w:val="center"/>
              <w:rPr>
                <w:color w:val="auto"/>
                <w:sz w:val="18"/>
                <w:szCs w:val="18"/>
              </w:rPr>
            </w:pP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1"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5</w:t>
            </w:r>
          </w:p>
        </w:tc>
        <w:tc>
          <w:tcPr>
            <w:tcW w:w="1550" w:type="dxa"/>
            <w:gridSpan w:val="2"/>
            <w:vAlign w:val="center"/>
          </w:tcPr>
          <w:p>
            <w:pPr>
              <w:adjustRightInd w:val="0"/>
              <w:snapToGrid w:val="0"/>
              <w:ind w:left="-120" w:leftChars="-50" w:right="-120" w:rightChars="-50"/>
              <w:jc w:val="center"/>
              <w:rPr>
                <w:color w:val="auto"/>
                <w:kern w:val="0"/>
                <w:sz w:val="18"/>
                <w:szCs w:val="18"/>
              </w:rPr>
            </w:pPr>
            <w:r>
              <w:rPr>
                <w:color w:val="auto"/>
                <w:kern w:val="0"/>
                <w:sz w:val="18"/>
                <w:szCs w:val="18"/>
              </w:rPr>
              <w:t>含固量（%）</w:t>
            </w:r>
          </w:p>
        </w:tc>
        <w:tc>
          <w:tcPr>
            <w:tcW w:w="1667" w:type="dxa"/>
            <w:gridSpan w:val="2"/>
            <w:vAlign w:val="center"/>
          </w:tcPr>
          <w:p>
            <w:pPr>
              <w:adjustRightInd w:val="0"/>
              <w:snapToGrid w:val="0"/>
              <w:jc w:val="center"/>
              <w:rPr>
                <w:color w:val="auto"/>
                <w:sz w:val="18"/>
                <w:szCs w:val="18"/>
              </w:rPr>
            </w:pPr>
            <w:r>
              <w:rPr>
                <w:color w:val="auto"/>
                <w:sz w:val="18"/>
                <w:szCs w:val="18"/>
              </w:rPr>
              <w:t>S＞25时，应控制在0.95S～1.05S;</w:t>
            </w:r>
          </w:p>
          <w:p>
            <w:pPr>
              <w:adjustRightInd w:val="0"/>
              <w:snapToGrid w:val="0"/>
              <w:jc w:val="center"/>
              <w:rPr>
                <w:color w:val="auto"/>
                <w:sz w:val="18"/>
                <w:szCs w:val="18"/>
              </w:rPr>
            </w:pPr>
            <w:r>
              <w:rPr>
                <w:color w:val="auto"/>
                <w:sz w:val="18"/>
                <w:szCs w:val="18"/>
              </w:rPr>
              <w:t>S≤25时，应控制在0.90S～1.10S</w:t>
            </w:r>
          </w:p>
        </w:tc>
        <w:tc>
          <w:tcPr>
            <w:tcW w:w="1072" w:type="dxa"/>
            <w:vAlign w:val="center"/>
          </w:tcPr>
          <w:p>
            <w:pPr>
              <w:adjustRightInd w:val="0"/>
              <w:snapToGrid w:val="0"/>
              <w:jc w:val="center"/>
              <w:rPr>
                <w:color w:val="auto"/>
                <w:kern w:val="0"/>
                <w:sz w:val="18"/>
                <w:szCs w:val="18"/>
              </w:rPr>
            </w:pPr>
            <w:r>
              <w:rPr>
                <w:color w:val="auto"/>
                <w:kern w:val="0"/>
                <w:sz w:val="18"/>
                <w:szCs w:val="18"/>
              </w:rPr>
              <w:t>按GB/T 35159-2017附录A或附录B检验</w:t>
            </w:r>
          </w:p>
        </w:tc>
        <w:tc>
          <w:tcPr>
            <w:tcW w:w="433" w:type="dxa"/>
            <w:vAlign w:val="center"/>
          </w:tcPr>
          <w:p>
            <w:pPr>
              <w:jc w:val="center"/>
              <w:rPr>
                <w:color w:val="auto"/>
                <w:sz w:val="18"/>
                <w:szCs w:val="18"/>
              </w:rPr>
            </w:pPr>
            <w:r>
              <w:rPr>
                <w:color w:val="auto"/>
                <w:kern w:val="0"/>
                <w:sz w:val="18"/>
                <w:szCs w:val="18"/>
              </w:rPr>
              <w:t>√</w:t>
            </w:r>
          </w:p>
        </w:tc>
        <w:tc>
          <w:tcPr>
            <w:tcW w:w="917" w:type="dxa"/>
            <w:vMerge w:val="continue"/>
            <w:vAlign w:val="center"/>
          </w:tcPr>
          <w:p>
            <w:pPr>
              <w:ind w:right="29" w:rightChars="12"/>
              <w:jc w:val="center"/>
              <w:rPr>
                <w:color w:val="auto"/>
                <w:sz w:val="18"/>
                <w:szCs w:val="18"/>
              </w:rPr>
            </w:pPr>
          </w:p>
        </w:tc>
        <w:tc>
          <w:tcPr>
            <w:tcW w:w="411" w:type="dxa"/>
            <w:vAlign w:val="center"/>
          </w:tcPr>
          <w:p>
            <w:pPr>
              <w:jc w:val="center"/>
              <w:rPr>
                <w:color w:val="auto"/>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vAlign w:val="center"/>
          </w:tcPr>
          <w:p>
            <w:pPr>
              <w:ind w:right="29" w:rightChars="12"/>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2"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6</w:t>
            </w:r>
          </w:p>
        </w:tc>
        <w:tc>
          <w:tcPr>
            <w:tcW w:w="1550" w:type="dxa"/>
            <w:gridSpan w:val="2"/>
            <w:vAlign w:val="center"/>
          </w:tcPr>
          <w:p>
            <w:pPr>
              <w:adjustRightInd w:val="0"/>
              <w:snapToGrid w:val="0"/>
              <w:jc w:val="center"/>
              <w:rPr>
                <w:color w:val="auto"/>
                <w:kern w:val="0"/>
                <w:sz w:val="18"/>
                <w:szCs w:val="18"/>
              </w:rPr>
            </w:pPr>
            <w:r>
              <w:rPr>
                <w:color w:val="auto"/>
                <w:kern w:val="0"/>
                <w:sz w:val="18"/>
                <w:szCs w:val="18"/>
              </w:rPr>
              <w:t>稳定性（上清液或底部沉淀物体积）/mL</w:t>
            </w:r>
          </w:p>
        </w:tc>
        <w:tc>
          <w:tcPr>
            <w:tcW w:w="1667" w:type="dxa"/>
            <w:gridSpan w:val="2"/>
            <w:vAlign w:val="center"/>
          </w:tcPr>
          <w:p>
            <w:pPr>
              <w:adjustRightInd w:val="0"/>
              <w:snapToGrid w:val="0"/>
              <w:jc w:val="center"/>
              <w:rPr>
                <w:color w:val="auto"/>
                <w:sz w:val="18"/>
                <w:szCs w:val="18"/>
              </w:rPr>
            </w:pPr>
            <w:r>
              <w:rPr>
                <w:color w:val="auto"/>
                <w:sz w:val="18"/>
                <w:szCs w:val="18"/>
              </w:rPr>
              <w:t>≤5</w:t>
            </w:r>
          </w:p>
        </w:tc>
        <w:tc>
          <w:tcPr>
            <w:tcW w:w="1072" w:type="dxa"/>
            <w:vAlign w:val="center"/>
          </w:tcPr>
          <w:p>
            <w:pPr>
              <w:adjustRightInd w:val="0"/>
              <w:snapToGrid w:val="0"/>
              <w:jc w:val="center"/>
              <w:rPr>
                <w:color w:val="auto"/>
                <w:sz w:val="18"/>
                <w:szCs w:val="18"/>
              </w:rPr>
            </w:pPr>
            <w:r>
              <w:rPr>
                <w:color w:val="auto"/>
                <w:kern w:val="0"/>
                <w:sz w:val="18"/>
                <w:szCs w:val="18"/>
              </w:rPr>
              <w:t>按GB/T 35159-2017附录C检验</w:t>
            </w:r>
          </w:p>
        </w:tc>
        <w:tc>
          <w:tcPr>
            <w:tcW w:w="433" w:type="dxa"/>
            <w:vAlign w:val="center"/>
          </w:tcPr>
          <w:p>
            <w:pPr>
              <w:ind w:left="-120" w:leftChars="-50" w:right="-120" w:rightChars="-50"/>
              <w:jc w:val="center"/>
              <w:rPr>
                <w:color w:val="auto"/>
                <w:sz w:val="18"/>
                <w:szCs w:val="18"/>
              </w:rPr>
            </w:pPr>
            <w:r>
              <w:rPr>
                <w:color w:val="auto"/>
                <w:kern w:val="0"/>
                <w:sz w:val="18"/>
                <w:szCs w:val="18"/>
              </w:rPr>
              <w:t>√</w:t>
            </w:r>
          </w:p>
        </w:tc>
        <w:tc>
          <w:tcPr>
            <w:tcW w:w="917" w:type="dxa"/>
            <w:vMerge w:val="continue"/>
            <w:vAlign w:val="center"/>
          </w:tcPr>
          <w:p>
            <w:pPr>
              <w:ind w:right="29" w:rightChars="12"/>
              <w:jc w:val="center"/>
              <w:rPr>
                <w:color w:val="auto"/>
                <w:sz w:val="18"/>
                <w:szCs w:val="18"/>
              </w:rPr>
            </w:pPr>
          </w:p>
        </w:tc>
        <w:tc>
          <w:tcPr>
            <w:tcW w:w="411" w:type="dxa"/>
            <w:vAlign w:val="center"/>
          </w:tcPr>
          <w:p>
            <w:pPr>
              <w:ind w:left="-120" w:leftChars="-50" w:right="-120" w:rightChars="-50"/>
              <w:jc w:val="center"/>
              <w:rPr>
                <w:color w:val="auto"/>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7</w:t>
            </w:r>
          </w:p>
        </w:tc>
        <w:tc>
          <w:tcPr>
            <w:tcW w:w="1550" w:type="dxa"/>
            <w:gridSpan w:val="2"/>
            <w:vAlign w:val="center"/>
          </w:tcPr>
          <w:p>
            <w:pPr>
              <w:adjustRightInd w:val="0"/>
              <w:snapToGrid w:val="0"/>
              <w:jc w:val="center"/>
              <w:rPr>
                <w:color w:val="auto"/>
                <w:kern w:val="0"/>
                <w:sz w:val="18"/>
                <w:szCs w:val="18"/>
              </w:rPr>
            </w:pPr>
            <w:r>
              <w:rPr>
                <w:color w:val="auto"/>
                <w:kern w:val="0"/>
                <w:sz w:val="18"/>
                <w:szCs w:val="18"/>
              </w:rPr>
              <w:t>氯离子含量（%）</w:t>
            </w:r>
          </w:p>
        </w:tc>
        <w:tc>
          <w:tcPr>
            <w:tcW w:w="1667" w:type="dxa"/>
            <w:gridSpan w:val="2"/>
            <w:vAlign w:val="center"/>
          </w:tcPr>
          <w:p>
            <w:pPr>
              <w:adjustRightInd w:val="0"/>
              <w:snapToGrid w:val="0"/>
              <w:jc w:val="center"/>
              <w:rPr>
                <w:color w:val="auto"/>
                <w:sz w:val="18"/>
                <w:szCs w:val="18"/>
              </w:rPr>
            </w:pPr>
            <w:r>
              <w:rPr>
                <w:color w:val="auto"/>
                <w:sz w:val="18"/>
                <w:szCs w:val="18"/>
              </w:rPr>
              <w:t>≤0.1</w:t>
            </w:r>
          </w:p>
        </w:tc>
        <w:tc>
          <w:tcPr>
            <w:tcW w:w="1072" w:type="dxa"/>
            <w:vAlign w:val="center"/>
          </w:tcPr>
          <w:p>
            <w:pPr>
              <w:adjustRightInd w:val="0"/>
              <w:snapToGrid w:val="0"/>
              <w:jc w:val="center"/>
              <w:rPr>
                <w:color w:val="auto"/>
                <w:kern w:val="0"/>
                <w:sz w:val="18"/>
                <w:szCs w:val="18"/>
              </w:rPr>
            </w:pPr>
            <w:r>
              <w:rPr>
                <w:color w:val="auto"/>
                <w:kern w:val="0"/>
                <w:sz w:val="18"/>
                <w:szCs w:val="18"/>
              </w:rPr>
              <w:t>按GB/T 8077检验</w:t>
            </w:r>
          </w:p>
        </w:tc>
        <w:tc>
          <w:tcPr>
            <w:tcW w:w="433" w:type="dxa"/>
            <w:vAlign w:val="center"/>
          </w:tcPr>
          <w:p>
            <w:pPr>
              <w:ind w:left="-120" w:leftChars="-50" w:right="-120" w:rightChars="-50"/>
              <w:jc w:val="center"/>
              <w:rPr>
                <w:color w:val="auto"/>
                <w:kern w:val="0"/>
                <w:sz w:val="18"/>
                <w:szCs w:val="18"/>
              </w:rPr>
            </w:pPr>
            <w:r>
              <w:rPr>
                <w:color w:val="auto"/>
                <w:kern w:val="0"/>
                <w:sz w:val="18"/>
                <w:szCs w:val="18"/>
              </w:rPr>
              <w:t>√</w:t>
            </w:r>
          </w:p>
        </w:tc>
        <w:tc>
          <w:tcPr>
            <w:tcW w:w="917" w:type="dxa"/>
            <w:vMerge w:val="continue"/>
            <w:vAlign w:val="center"/>
          </w:tcPr>
          <w:p>
            <w:pPr>
              <w:ind w:right="29" w:rightChars="12"/>
              <w:jc w:val="center"/>
              <w:rPr>
                <w:color w:val="auto"/>
                <w:sz w:val="18"/>
                <w:szCs w:val="18"/>
              </w:rPr>
            </w:pPr>
          </w:p>
        </w:tc>
        <w:tc>
          <w:tcPr>
            <w:tcW w:w="411" w:type="dxa"/>
            <w:vAlign w:val="center"/>
          </w:tcPr>
          <w:p>
            <w:pPr>
              <w:ind w:left="-120" w:leftChars="-50" w:right="-120" w:rightChars="-50"/>
              <w:jc w:val="center"/>
              <w:rPr>
                <w:color w:val="auto"/>
                <w:kern w:val="0"/>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vAlign w:val="center"/>
          </w:tcPr>
          <w:p>
            <w:pPr>
              <w:jc w:val="center"/>
              <w:rPr>
                <w:color w:val="auto"/>
                <w:kern w:val="0"/>
                <w:sz w:val="18"/>
                <w:szCs w:val="18"/>
              </w:rPr>
            </w:pPr>
          </w:p>
        </w:tc>
        <w:tc>
          <w:tcPr>
            <w:tcW w:w="950" w:type="dxa"/>
            <w:vMerge w:val="continue"/>
            <w:vAlign w:val="center"/>
          </w:tcPr>
          <w:p>
            <w:pPr>
              <w:ind w:right="29" w:rightChars="12"/>
              <w:jc w:val="center"/>
              <w:rPr>
                <w:color w:val="auto"/>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1" w:hRule="atLeast"/>
          <w:jc w:val="center"/>
        </w:trPr>
        <w:tc>
          <w:tcPr>
            <w:tcW w:w="417" w:type="dxa"/>
            <w:vAlign w:val="center"/>
          </w:tcPr>
          <w:p>
            <w:pPr>
              <w:adjustRightInd w:val="0"/>
              <w:snapToGrid w:val="0"/>
              <w:jc w:val="center"/>
              <w:rPr>
                <w:color w:val="auto"/>
                <w:kern w:val="0"/>
                <w:sz w:val="18"/>
                <w:szCs w:val="18"/>
              </w:rPr>
            </w:pPr>
            <w:r>
              <w:rPr>
                <w:color w:val="auto"/>
                <w:kern w:val="0"/>
                <w:sz w:val="18"/>
                <w:szCs w:val="18"/>
              </w:rPr>
              <w:t>8</w:t>
            </w:r>
          </w:p>
        </w:tc>
        <w:tc>
          <w:tcPr>
            <w:tcW w:w="1550" w:type="dxa"/>
            <w:gridSpan w:val="2"/>
            <w:vAlign w:val="center"/>
          </w:tcPr>
          <w:p>
            <w:pPr>
              <w:adjustRightInd w:val="0"/>
              <w:snapToGrid w:val="0"/>
              <w:jc w:val="center"/>
              <w:rPr>
                <w:color w:val="auto"/>
                <w:kern w:val="0"/>
                <w:sz w:val="18"/>
                <w:szCs w:val="18"/>
              </w:rPr>
            </w:pPr>
            <w:r>
              <w:rPr>
                <w:color w:val="auto"/>
                <w:kern w:val="0"/>
                <w:sz w:val="18"/>
                <w:szCs w:val="18"/>
              </w:rPr>
              <w:t>碱含量（按当量Na</w:t>
            </w:r>
            <w:r>
              <w:rPr>
                <w:color w:val="auto"/>
                <w:kern w:val="0"/>
                <w:sz w:val="18"/>
                <w:szCs w:val="18"/>
                <w:vertAlign w:val="subscript"/>
              </w:rPr>
              <w:t>2</w:t>
            </w:r>
            <w:r>
              <w:rPr>
                <w:color w:val="auto"/>
                <w:kern w:val="0"/>
                <w:sz w:val="18"/>
                <w:szCs w:val="18"/>
              </w:rPr>
              <w:t>O含量计）/%</w:t>
            </w:r>
          </w:p>
        </w:tc>
        <w:tc>
          <w:tcPr>
            <w:tcW w:w="1667" w:type="dxa"/>
            <w:gridSpan w:val="2"/>
            <w:vAlign w:val="center"/>
          </w:tcPr>
          <w:p>
            <w:pPr>
              <w:adjustRightInd w:val="0"/>
              <w:snapToGrid w:val="0"/>
              <w:jc w:val="center"/>
              <w:rPr>
                <w:color w:val="auto"/>
                <w:sz w:val="18"/>
                <w:szCs w:val="18"/>
              </w:rPr>
            </w:pPr>
            <w:r>
              <w:rPr>
                <w:color w:val="auto"/>
                <w:sz w:val="18"/>
                <w:szCs w:val="18"/>
              </w:rPr>
              <w:t>应小于生产厂控制值，其中无碱速凝剂≤1.0</w:t>
            </w:r>
          </w:p>
        </w:tc>
        <w:tc>
          <w:tcPr>
            <w:tcW w:w="1072" w:type="dxa"/>
            <w:vAlign w:val="center"/>
          </w:tcPr>
          <w:p>
            <w:pPr>
              <w:adjustRightInd w:val="0"/>
              <w:snapToGrid w:val="0"/>
              <w:jc w:val="center"/>
              <w:rPr>
                <w:color w:val="auto"/>
                <w:kern w:val="0"/>
                <w:sz w:val="18"/>
                <w:szCs w:val="18"/>
              </w:rPr>
            </w:pPr>
            <w:r>
              <w:rPr>
                <w:color w:val="auto"/>
                <w:kern w:val="0"/>
                <w:sz w:val="18"/>
                <w:szCs w:val="18"/>
              </w:rPr>
              <w:t>按GB/T 8077检验</w:t>
            </w:r>
          </w:p>
        </w:tc>
        <w:tc>
          <w:tcPr>
            <w:tcW w:w="433" w:type="dxa"/>
            <w:vAlign w:val="center"/>
          </w:tcPr>
          <w:p>
            <w:pPr>
              <w:ind w:left="-120" w:leftChars="-50" w:right="-120" w:rightChars="-50"/>
              <w:jc w:val="center"/>
              <w:rPr>
                <w:color w:val="auto"/>
                <w:kern w:val="0"/>
                <w:sz w:val="18"/>
                <w:szCs w:val="18"/>
              </w:rPr>
            </w:pPr>
            <w:r>
              <w:rPr>
                <w:color w:val="auto"/>
                <w:kern w:val="0"/>
                <w:sz w:val="18"/>
                <w:szCs w:val="18"/>
              </w:rPr>
              <w:t>√</w:t>
            </w:r>
          </w:p>
        </w:tc>
        <w:tc>
          <w:tcPr>
            <w:tcW w:w="917" w:type="dxa"/>
            <w:vMerge w:val="continue"/>
            <w:vAlign w:val="center"/>
          </w:tcPr>
          <w:p>
            <w:pPr>
              <w:ind w:right="29" w:rightChars="12"/>
              <w:jc w:val="center"/>
              <w:rPr>
                <w:color w:val="auto"/>
                <w:sz w:val="18"/>
                <w:szCs w:val="18"/>
              </w:rPr>
            </w:pPr>
          </w:p>
        </w:tc>
        <w:tc>
          <w:tcPr>
            <w:tcW w:w="411" w:type="dxa"/>
            <w:vAlign w:val="center"/>
          </w:tcPr>
          <w:p>
            <w:pPr>
              <w:ind w:left="-120" w:leftChars="-50" w:right="-120" w:rightChars="-50"/>
              <w:jc w:val="center"/>
              <w:rPr>
                <w:color w:val="auto"/>
                <w:kern w:val="0"/>
                <w:sz w:val="18"/>
                <w:szCs w:val="18"/>
              </w:rPr>
            </w:pPr>
            <w:r>
              <w:rPr>
                <w:color w:val="auto"/>
                <w:kern w:val="0"/>
                <w:sz w:val="18"/>
                <w:szCs w:val="18"/>
              </w:rPr>
              <w:t>√</w:t>
            </w:r>
          </w:p>
        </w:tc>
        <w:tc>
          <w:tcPr>
            <w:tcW w:w="1283" w:type="dxa"/>
            <w:vMerge w:val="continue"/>
            <w:vAlign w:val="center"/>
          </w:tcPr>
          <w:p>
            <w:pPr>
              <w:ind w:right="29" w:rightChars="12"/>
              <w:jc w:val="center"/>
              <w:rPr>
                <w:color w:val="auto"/>
                <w:sz w:val="18"/>
                <w:szCs w:val="18"/>
              </w:rPr>
            </w:pPr>
          </w:p>
        </w:tc>
        <w:tc>
          <w:tcPr>
            <w:tcW w:w="434" w:type="dxa"/>
          </w:tcPr>
          <w:p>
            <w:pPr>
              <w:jc w:val="center"/>
              <w:rPr>
                <w:color w:val="auto"/>
                <w:kern w:val="0"/>
                <w:sz w:val="18"/>
                <w:szCs w:val="18"/>
              </w:rPr>
            </w:pPr>
          </w:p>
        </w:tc>
        <w:tc>
          <w:tcPr>
            <w:tcW w:w="950" w:type="dxa"/>
            <w:vMerge w:val="continue"/>
            <w:vAlign w:val="center"/>
          </w:tcPr>
          <w:p>
            <w:pPr>
              <w:ind w:right="29" w:rightChars="12"/>
              <w:jc w:val="center"/>
              <w:rPr>
                <w:color w:val="auto"/>
                <w:sz w:val="18"/>
                <w:szCs w:val="18"/>
              </w:rPr>
            </w:pPr>
          </w:p>
        </w:tc>
      </w:tr>
    </w:tbl>
    <w:p>
      <w:pPr>
        <w:adjustRightInd w:val="0"/>
        <w:snapToGrid w:val="0"/>
        <w:ind w:firstLine="211" w:firstLineChars="100"/>
        <w:jc w:val="left"/>
        <w:rPr>
          <w:color w:val="auto"/>
          <w:sz w:val="21"/>
          <w:szCs w:val="21"/>
        </w:rPr>
      </w:pPr>
      <w:r>
        <w:rPr>
          <w:b/>
          <w:color w:val="auto"/>
          <w:sz w:val="21"/>
          <w:szCs w:val="21"/>
        </w:rPr>
        <w:t>注：</w:t>
      </w:r>
      <w:r>
        <w:rPr>
          <w:rFonts w:hint="eastAsia"/>
          <w:b/>
          <w:color w:val="auto"/>
          <w:sz w:val="21"/>
          <w:szCs w:val="21"/>
        </w:rPr>
        <w:t xml:space="preserve">1 </w:t>
      </w:r>
      <w:r>
        <w:rPr>
          <w:bCs/>
          <w:color w:val="auto"/>
          <w:sz w:val="21"/>
          <w:szCs w:val="21"/>
        </w:rPr>
        <w:t>抽检试验用水泥宜为工程用水泥</w:t>
      </w:r>
      <w:r>
        <w:rPr>
          <w:color w:val="auto"/>
          <w:sz w:val="21"/>
          <w:szCs w:val="21"/>
        </w:rPr>
        <w:t>。</w:t>
      </w:r>
    </w:p>
    <w:p>
      <w:pPr>
        <w:ind w:firstLine="664" w:firstLineChars="315"/>
        <w:rPr>
          <w:bCs/>
          <w:color w:val="auto"/>
          <w:sz w:val="21"/>
          <w:szCs w:val="21"/>
        </w:rPr>
      </w:pPr>
      <w:r>
        <w:rPr>
          <w:rFonts w:hint="eastAsia"/>
          <w:b/>
          <w:bCs/>
          <w:color w:val="auto"/>
          <w:sz w:val="21"/>
          <w:szCs w:val="21"/>
        </w:rPr>
        <w:t>2</w:t>
      </w:r>
      <w:r>
        <w:rPr>
          <w:bCs/>
          <w:color w:val="auto"/>
          <w:sz w:val="21"/>
          <w:szCs w:val="21"/>
        </w:rPr>
        <w:t>速凝剂按生产厂提供的推荐检验掺量掺加，且该掺量分别在下述范围内：液体无碱速凝剂6%～9%，液体有碱速凝剂3%～5%。</w:t>
      </w:r>
    </w:p>
    <w:p>
      <w:pPr>
        <w:ind w:firstLine="664" w:firstLineChars="315"/>
        <w:rPr>
          <w:bCs/>
          <w:color w:val="auto"/>
          <w:sz w:val="21"/>
          <w:szCs w:val="21"/>
        </w:rPr>
      </w:pPr>
      <w:r>
        <w:rPr>
          <w:rFonts w:hint="eastAsia"/>
          <w:b/>
          <w:bCs/>
          <w:color w:val="auto"/>
          <w:sz w:val="21"/>
          <w:szCs w:val="21"/>
        </w:rPr>
        <w:t>3</w:t>
      </w:r>
      <w:r>
        <w:rPr>
          <w:bCs/>
          <w:color w:val="auto"/>
          <w:sz w:val="21"/>
          <w:szCs w:val="21"/>
        </w:rPr>
        <w:t>高强喷射混凝土宜采用液态无碱速凝剂。</w:t>
      </w:r>
    </w:p>
    <w:p>
      <w:pPr>
        <w:pStyle w:val="3"/>
        <w:keepNext/>
        <w:keepLines/>
        <w:spacing w:before="360" w:beforeLines="0" w:after="360" w:afterLines="0" w:line="400" w:lineRule="atLeast"/>
        <w:rPr>
          <w:rFonts w:eastAsia="黑体"/>
          <w:b w:val="0"/>
          <w:color w:val="auto"/>
          <w:sz w:val="24"/>
          <w:szCs w:val="24"/>
        </w:rPr>
      </w:pPr>
      <w:bookmarkStart w:id="15" w:name="_Toc1658233"/>
      <w:r>
        <w:rPr>
          <w:rFonts w:eastAsia="黑体"/>
          <w:b w:val="0"/>
          <w:color w:val="auto"/>
          <w:sz w:val="24"/>
          <w:szCs w:val="24"/>
        </w:rPr>
        <w:t>4.4  纤维</w:t>
      </w:r>
      <w:bookmarkEnd w:id="15"/>
    </w:p>
    <w:p>
      <w:pPr>
        <w:pStyle w:val="48"/>
        <w:numPr>
          <w:ilvl w:val="0"/>
          <w:numId w:val="13"/>
        </w:numPr>
        <w:ind w:left="0" w:firstLine="0"/>
        <w:rPr>
          <w:color w:val="auto"/>
        </w:rPr>
      </w:pPr>
      <w:r>
        <w:rPr>
          <w:color w:val="auto"/>
        </w:rPr>
        <w:t>纤维喷射混凝土所用纤维的品种、规格、质量应符合设计要求。</w:t>
      </w:r>
    </w:p>
    <w:p>
      <w:pPr>
        <w:pStyle w:val="48"/>
        <w:numPr>
          <w:ilvl w:val="0"/>
          <w:numId w:val="13"/>
        </w:numPr>
        <w:ind w:left="0" w:firstLine="0"/>
        <w:rPr>
          <w:color w:val="auto"/>
        </w:rPr>
      </w:pPr>
      <w:r>
        <w:rPr>
          <w:color w:val="auto"/>
        </w:rPr>
        <w:t>钢纤维不得有明显的锈蚀、油渍和其他妨碍钢纤维与水泥黏结的杂质，也不得混有妨碍水泥硬化的化学成分。</w:t>
      </w:r>
    </w:p>
    <w:p>
      <w:pPr>
        <w:ind w:firstLine="482" w:firstLineChars="200"/>
        <w:rPr>
          <w:color w:val="auto"/>
        </w:rPr>
      </w:pPr>
      <w:r>
        <w:rPr>
          <w:rFonts w:eastAsia="黑体"/>
          <w:b/>
          <w:bCs/>
          <w:color w:val="auto"/>
        </w:rPr>
        <w:t>1</w:t>
      </w:r>
      <w:r>
        <w:rPr>
          <w:color w:val="auto"/>
        </w:rPr>
        <w:t>当设计无具体要求时，钢纤维的抗拉强度宜不低于600N/mm</w:t>
      </w:r>
      <w:r>
        <w:rPr>
          <w:color w:val="auto"/>
          <w:vertAlign w:val="superscript"/>
        </w:rPr>
        <w:t>2</w:t>
      </w:r>
      <w:r>
        <w:rPr>
          <w:rFonts w:hint="eastAsia"/>
          <w:color w:val="auto"/>
        </w:rPr>
        <w:t>，</w:t>
      </w:r>
      <w:r>
        <w:rPr>
          <w:color w:val="auto"/>
        </w:rPr>
        <w:t>直径（或等效直径）宜为0.30mm～0.80mm</w:t>
      </w:r>
      <w:r>
        <w:rPr>
          <w:rFonts w:hint="eastAsia"/>
          <w:color w:val="auto"/>
        </w:rPr>
        <w:t>，</w:t>
      </w:r>
      <w:r>
        <w:rPr>
          <w:color w:val="auto"/>
        </w:rPr>
        <w:t>长度宜为20mm～35mm</w:t>
      </w:r>
      <w:r>
        <w:rPr>
          <w:rFonts w:hint="eastAsia"/>
          <w:color w:val="auto"/>
        </w:rPr>
        <w:t>，</w:t>
      </w:r>
      <w:r>
        <w:rPr>
          <w:color w:val="auto"/>
        </w:rPr>
        <w:t>并不得大于混合料输送管内径或喷嘴内径的0.7倍，长径比为30～80</w:t>
      </w:r>
      <w:r>
        <w:rPr>
          <w:rFonts w:hint="eastAsia"/>
          <w:color w:val="auto"/>
        </w:rPr>
        <w:t>。</w:t>
      </w:r>
    </w:p>
    <w:p>
      <w:pPr>
        <w:pStyle w:val="48"/>
        <w:numPr>
          <w:ilvl w:val="0"/>
          <w:numId w:val="13"/>
        </w:numPr>
        <w:ind w:left="0" w:firstLine="0"/>
        <w:rPr>
          <w:color w:val="auto"/>
        </w:rPr>
      </w:pPr>
      <w:r>
        <w:rPr>
          <w:color w:val="auto"/>
        </w:rPr>
        <w:t>合成纤维宜采用聚丙烯纤维</w:t>
      </w:r>
      <w:r>
        <w:rPr>
          <w:rFonts w:hint="eastAsia"/>
          <w:color w:val="auto"/>
        </w:rPr>
        <w:t>，</w:t>
      </w:r>
      <w:r>
        <w:rPr>
          <w:color w:val="auto"/>
        </w:rPr>
        <w:t>合成纤维应具有良好的耐酸、碱性和化学稳定性，并经改性处理，具有良好的分散性，不结团，不得有妨碍纤维与混凝土黏结的杂质，也不得混有妨碍水泥硬化的化学成分。</w:t>
      </w:r>
    </w:p>
    <w:p>
      <w:pPr>
        <w:ind w:firstLine="482" w:firstLineChars="200"/>
        <w:rPr>
          <w:color w:val="auto"/>
        </w:rPr>
      </w:pPr>
      <w:r>
        <w:rPr>
          <w:rFonts w:hint="eastAsia" w:eastAsia="黑体"/>
          <w:b/>
          <w:bCs/>
          <w:color w:val="auto"/>
        </w:rPr>
        <w:t>1</w:t>
      </w:r>
      <w:r>
        <w:rPr>
          <w:color w:val="auto"/>
        </w:rPr>
        <w:t>当设计无具体要求时，合成纤维的抗拉强度不应低于270N/mm</w:t>
      </w:r>
      <w:r>
        <w:rPr>
          <w:color w:val="auto"/>
          <w:vertAlign w:val="superscript"/>
        </w:rPr>
        <w:t>2</w:t>
      </w:r>
      <w:r>
        <w:rPr>
          <w:color w:val="auto"/>
        </w:rPr>
        <w:t>，直径宜为10μm～100μm，长度宜为12mm～19mm。</w:t>
      </w:r>
    </w:p>
    <w:p>
      <w:pPr>
        <w:pStyle w:val="48"/>
        <w:numPr>
          <w:ilvl w:val="0"/>
          <w:numId w:val="13"/>
        </w:numPr>
        <w:ind w:left="0" w:firstLine="0"/>
        <w:rPr>
          <w:color w:val="auto"/>
        </w:rPr>
      </w:pPr>
      <w:r>
        <w:rPr>
          <w:color w:val="auto"/>
        </w:rPr>
        <w:t>钢纤维及合成纤维的检验方法和检验数量应符合《铁路混凝土工程施工质量验收标准》TB 10424的规定。</w:t>
      </w:r>
    </w:p>
    <w:p>
      <w:pPr>
        <w:pStyle w:val="3"/>
        <w:keepNext/>
        <w:keepLines/>
        <w:spacing w:before="360" w:beforeLines="0" w:after="360" w:afterLines="0" w:line="400" w:lineRule="atLeast"/>
        <w:rPr>
          <w:rFonts w:eastAsia="黑体"/>
          <w:bCs w:val="0"/>
          <w:color w:val="auto"/>
          <w:szCs w:val="24"/>
        </w:rPr>
      </w:pPr>
      <w:bookmarkStart w:id="16" w:name="_Toc1658234"/>
      <w:r>
        <w:rPr>
          <w:rFonts w:eastAsia="黑体"/>
          <w:b w:val="0"/>
          <w:color w:val="auto"/>
          <w:sz w:val="24"/>
          <w:szCs w:val="24"/>
        </w:rPr>
        <w:t>4.5 拌和水</w:t>
      </w:r>
      <w:bookmarkEnd w:id="16"/>
    </w:p>
    <w:p>
      <w:pPr>
        <w:pStyle w:val="48"/>
        <w:numPr>
          <w:ilvl w:val="0"/>
          <w:numId w:val="14"/>
        </w:numPr>
        <w:ind w:left="0" w:firstLine="0"/>
        <w:rPr>
          <w:color w:val="auto"/>
        </w:rPr>
      </w:pPr>
      <w:r>
        <w:rPr>
          <w:color w:val="auto"/>
        </w:rPr>
        <w:t>拌和用水的性能应符合表4.5 .1-1的规定。检验方法和检验数量应符合《铁路混凝土工程施工质量验收标准》TB 10424的规定。</w:t>
      </w:r>
    </w:p>
    <w:p>
      <w:pPr>
        <w:adjustRightInd w:val="0"/>
        <w:snapToGrid w:val="0"/>
        <w:spacing w:line="400" w:lineRule="exact"/>
        <w:jc w:val="center"/>
        <w:rPr>
          <w:rFonts w:eastAsia="黑体"/>
          <w:bCs/>
          <w:color w:val="auto"/>
          <w:sz w:val="21"/>
          <w:szCs w:val="21"/>
        </w:rPr>
      </w:pPr>
      <w:r>
        <w:rPr>
          <w:rFonts w:eastAsia="黑体"/>
          <w:bCs/>
          <w:color w:val="auto"/>
          <w:sz w:val="21"/>
          <w:szCs w:val="21"/>
        </w:rPr>
        <w:t>表4.5.1-1 拌和水的性能</w:t>
      </w:r>
    </w:p>
    <w:tbl>
      <w:tblPr>
        <w:tblStyle w:val="44"/>
        <w:tblW w:w="9093" w:type="dxa"/>
        <w:jc w:val="center"/>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
      <w:tblGrid>
        <w:gridCol w:w="530"/>
        <w:gridCol w:w="1499"/>
        <w:gridCol w:w="2273"/>
        <w:gridCol w:w="2170"/>
        <w:gridCol w:w="262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44" w:hRule="atLeast"/>
          <w:jc w:val="center"/>
        </w:trPr>
        <w:tc>
          <w:tcPr>
            <w:tcW w:w="53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序号</w:t>
            </w:r>
          </w:p>
        </w:tc>
        <w:tc>
          <w:tcPr>
            <w:tcW w:w="149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检验项目</w:t>
            </w:r>
          </w:p>
        </w:tc>
        <w:tc>
          <w:tcPr>
            <w:tcW w:w="4443"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技术要求</w:t>
            </w:r>
          </w:p>
        </w:tc>
        <w:tc>
          <w:tcPr>
            <w:tcW w:w="2621"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检验方法</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atLeast"/>
          <w:jc w:val="center"/>
        </w:trPr>
        <w:tc>
          <w:tcPr>
            <w:tcW w:w="530" w:type="dxa"/>
            <w:vMerge w:val="continue"/>
            <w:vAlign w:val="center"/>
          </w:tcPr>
          <w:p>
            <w:pPr>
              <w:tabs>
                <w:tab w:val="left" w:pos="3430"/>
              </w:tabs>
              <w:adjustRightInd w:val="0"/>
              <w:snapToGrid w:val="0"/>
              <w:spacing w:line="240" w:lineRule="exact"/>
              <w:jc w:val="center"/>
              <w:rPr>
                <w:color w:val="auto"/>
                <w:kern w:val="0"/>
                <w:sz w:val="18"/>
                <w:szCs w:val="18"/>
              </w:rPr>
            </w:pPr>
          </w:p>
        </w:tc>
        <w:tc>
          <w:tcPr>
            <w:tcW w:w="1499" w:type="dxa"/>
            <w:vMerge w:val="continue"/>
            <w:vAlign w:val="center"/>
          </w:tcPr>
          <w:p>
            <w:pPr>
              <w:tabs>
                <w:tab w:val="left" w:pos="3430"/>
                <w:tab w:val="center" w:pos="4153"/>
                <w:tab w:val="right" w:pos="8306"/>
              </w:tabs>
              <w:adjustRightInd w:val="0"/>
              <w:snapToGrid w:val="0"/>
              <w:spacing w:line="240" w:lineRule="exact"/>
              <w:jc w:val="center"/>
              <w:rPr>
                <w:color w:val="auto"/>
                <w:kern w:val="0"/>
                <w:sz w:val="18"/>
                <w:szCs w:val="18"/>
              </w:rPr>
            </w:pP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钢筋混凝土</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素混凝土</w:t>
            </w:r>
          </w:p>
        </w:tc>
        <w:tc>
          <w:tcPr>
            <w:tcW w:w="2621" w:type="dxa"/>
            <w:vMerge w:val="continue"/>
            <w:vAlign w:val="center"/>
          </w:tcPr>
          <w:p>
            <w:pPr>
              <w:tabs>
                <w:tab w:val="left" w:pos="3430"/>
              </w:tabs>
              <w:adjustRightInd w:val="0"/>
              <w:snapToGrid w:val="0"/>
              <w:spacing w:line="240" w:lineRule="exact"/>
              <w:jc w:val="center"/>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71"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1</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pH值</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＞6.5</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＞6.5</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70"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2</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不溶物含量</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＜2000mg/L</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＜5000mg/L</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54"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可溶物含量</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＜5000mg/L</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＜10000mg/L</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53" w:hRule="atLeast"/>
          <w:jc w:val="center"/>
        </w:trPr>
        <w:tc>
          <w:tcPr>
            <w:tcW w:w="530"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4</w:t>
            </w:r>
          </w:p>
        </w:tc>
        <w:tc>
          <w:tcPr>
            <w:tcW w:w="1499"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氯化物含量</w:t>
            </w:r>
          </w:p>
          <w:p>
            <w:pPr>
              <w:tabs>
                <w:tab w:val="left" w:pos="3430"/>
              </w:tabs>
              <w:adjustRightInd w:val="0"/>
              <w:snapToGrid w:val="0"/>
              <w:spacing w:line="240" w:lineRule="exact"/>
              <w:jc w:val="center"/>
              <w:rPr>
                <w:color w:val="auto"/>
                <w:kern w:val="0"/>
                <w:sz w:val="18"/>
                <w:szCs w:val="18"/>
              </w:rPr>
            </w:pPr>
            <w:r>
              <w:rPr>
                <w:color w:val="auto"/>
                <w:kern w:val="0"/>
                <w:sz w:val="18"/>
                <w:szCs w:val="18"/>
              </w:rPr>
              <w:t>（以Cl</w:t>
            </w:r>
            <w:r>
              <w:rPr>
                <w:color w:val="auto"/>
                <w:kern w:val="0"/>
                <w:sz w:val="18"/>
                <w:szCs w:val="18"/>
                <w:vertAlign w:val="superscript"/>
              </w:rPr>
              <w:t xml:space="preserve">- </w:t>
            </w:r>
            <w:r>
              <w:rPr>
                <w:color w:val="auto"/>
                <w:kern w:val="0"/>
                <w:sz w:val="18"/>
                <w:szCs w:val="18"/>
              </w:rPr>
              <w:t>计）</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＜1000mg/L</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＜3500mg/L</w:t>
            </w:r>
          </w:p>
        </w:tc>
        <w:tc>
          <w:tcPr>
            <w:tcW w:w="2621" w:type="dxa"/>
            <w:vMerge w:val="restart"/>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37" w:hRule="atLeast"/>
          <w:jc w:val="center"/>
        </w:trPr>
        <w:tc>
          <w:tcPr>
            <w:tcW w:w="530" w:type="dxa"/>
            <w:vMerge w:val="continue"/>
            <w:vAlign w:val="center"/>
          </w:tcPr>
          <w:p>
            <w:pPr>
              <w:tabs>
                <w:tab w:val="left" w:pos="3430"/>
              </w:tabs>
              <w:adjustRightInd w:val="0"/>
              <w:snapToGrid w:val="0"/>
              <w:spacing w:line="240" w:lineRule="exact"/>
              <w:jc w:val="center"/>
              <w:rPr>
                <w:color w:val="auto"/>
                <w:kern w:val="0"/>
                <w:sz w:val="18"/>
                <w:szCs w:val="18"/>
              </w:rPr>
            </w:pPr>
          </w:p>
        </w:tc>
        <w:tc>
          <w:tcPr>
            <w:tcW w:w="1499" w:type="dxa"/>
            <w:vMerge w:val="continue"/>
            <w:vAlign w:val="center"/>
          </w:tcPr>
          <w:p>
            <w:pPr>
              <w:tabs>
                <w:tab w:val="left" w:pos="3430"/>
              </w:tabs>
              <w:adjustRightInd w:val="0"/>
              <w:snapToGrid w:val="0"/>
              <w:spacing w:line="240" w:lineRule="exact"/>
              <w:jc w:val="center"/>
              <w:rPr>
                <w:color w:val="auto"/>
                <w:kern w:val="0"/>
                <w:sz w:val="18"/>
                <w:szCs w:val="18"/>
              </w:rPr>
            </w:pPr>
          </w:p>
        </w:tc>
        <w:tc>
          <w:tcPr>
            <w:tcW w:w="4443" w:type="dxa"/>
            <w:gridSpan w:val="2"/>
            <w:vAlign w:val="center"/>
          </w:tcPr>
          <w:p>
            <w:pPr>
              <w:tabs>
                <w:tab w:val="left" w:pos="3430"/>
              </w:tabs>
              <w:spacing w:line="240" w:lineRule="exact"/>
              <w:jc w:val="center"/>
              <w:rPr>
                <w:color w:val="auto"/>
                <w:kern w:val="0"/>
                <w:sz w:val="18"/>
                <w:szCs w:val="18"/>
              </w:rPr>
            </w:pPr>
            <w:r>
              <w:rPr>
                <w:color w:val="auto"/>
                <w:kern w:val="0"/>
                <w:sz w:val="18"/>
                <w:szCs w:val="18"/>
              </w:rPr>
              <w:t>＜200mg/L（混凝土处于氯盐环境下）</w:t>
            </w:r>
          </w:p>
        </w:tc>
        <w:tc>
          <w:tcPr>
            <w:tcW w:w="2621" w:type="dxa"/>
            <w:vMerge w:val="continue"/>
            <w:vAlign w:val="center"/>
          </w:tcPr>
          <w:p>
            <w:pPr>
              <w:tabs>
                <w:tab w:val="left" w:pos="3430"/>
              </w:tabs>
              <w:adjustRightInd w:val="0"/>
              <w:snapToGrid w:val="0"/>
              <w:spacing w:line="240" w:lineRule="exact"/>
              <w:jc w:val="center"/>
              <w:rPr>
                <w:color w:val="auto"/>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70"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5</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硫酸盐含量</w:t>
            </w:r>
          </w:p>
          <w:p>
            <w:pPr>
              <w:tabs>
                <w:tab w:val="left" w:pos="3430"/>
              </w:tabs>
              <w:adjustRightInd w:val="0"/>
              <w:snapToGrid w:val="0"/>
              <w:spacing w:line="240" w:lineRule="exact"/>
              <w:jc w:val="center"/>
              <w:rPr>
                <w:color w:val="auto"/>
                <w:kern w:val="0"/>
                <w:sz w:val="18"/>
                <w:szCs w:val="18"/>
              </w:rPr>
            </w:pPr>
            <w:r>
              <w:rPr>
                <w:color w:val="auto"/>
                <w:kern w:val="0"/>
                <w:sz w:val="18"/>
                <w:szCs w:val="18"/>
              </w:rPr>
              <w:t>（以SO</w:t>
            </w:r>
            <w:r>
              <w:rPr>
                <w:color w:val="auto"/>
                <w:kern w:val="0"/>
                <w:sz w:val="18"/>
                <w:szCs w:val="18"/>
                <w:vertAlign w:val="subscript"/>
              </w:rPr>
              <w:t>4</w:t>
            </w:r>
            <w:r>
              <w:rPr>
                <w:color w:val="auto"/>
                <w:kern w:val="0"/>
                <w:sz w:val="18"/>
                <w:szCs w:val="18"/>
                <w:vertAlign w:val="superscript"/>
              </w:rPr>
              <w:t>2-</w:t>
            </w:r>
            <w:r>
              <w:rPr>
                <w:color w:val="auto"/>
                <w:kern w:val="0"/>
                <w:sz w:val="18"/>
                <w:szCs w:val="18"/>
              </w:rPr>
              <w:t>计）</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＜2000mg/L</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＜2700mg/L</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53"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6</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碱含量</w:t>
            </w:r>
          </w:p>
        </w:tc>
        <w:tc>
          <w:tcPr>
            <w:tcW w:w="2273" w:type="dxa"/>
            <w:vAlign w:val="center"/>
          </w:tcPr>
          <w:p>
            <w:pPr>
              <w:tabs>
                <w:tab w:val="left" w:pos="3430"/>
              </w:tabs>
              <w:spacing w:line="240" w:lineRule="exact"/>
              <w:jc w:val="center"/>
              <w:rPr>
                <w:color w:val="auto"/>
                <w:kern w:val="0"/>
                <w:sz w:val="18"/>
                <w:szCs w:val="18"/>
              </w:rPr>
            </w:pPr>
            <w:r>
              <w:rPr>
                <w:color w:val="auto"/>
                <w:kern w:val="0"/>
                <w:sz w:val="18"/>
                <w:szCs w:val="18"/>
              </w:rPr>
              <w:t>＜1500mg/L</w:t>
            </w:r>
          </w:p>
        </w:tc>
        <w:tc>
          <w:tcPr>
            <w:tcW w:w="2170" w:type="dxa"/>
            <w:vAlign w:val="center"/>
          </w:tcPr>
          <w:p>
            <w:pPr>
              <w:tabs>
                <w:tab w:val="left" w:pos="3430"/>
              </w:tabs>
              <w:spacing w:line="240" w:lineRule="exact"/>
              <w:jc w:val="center"/>
              <w:rPr>
                <w:color w:val="auto"/>
                <w:kern w:val="0"/>
                <w:sz w:val="18"/>
                <w:szCs w:val="18"/>
              </w:rPr>
            </w:pPr>
            <w:r>
              <w:rPr>
                <w:color w:val="auto"/>
                <w:kern w:val="0"/>
                <w:sz w:val="18"/>
                <w:szCs w:val="18"/>
              </w:rPr>
              <w:t>＜1500mg/L</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按GB/T176检验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397"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7</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抗压强度比(28d)</w:t>
            </w:r>
          </w:p>
        </w:tc>
        <w:tc>
          <w:tcPr>
            <w:tcW w:w="4443"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≥90%</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85" w:type="dxa"/>
            <w:bottom w:w="0" w:type="dxa"/>
            <w:right w:w="85" w:type="dxa"/>
          </w:tblCellMar>
        </w:tblPrEx>
        <w:trPr>
          <w:cantSplit/>
          <w:trHeight w:val="447" w:hRule="atLeast"/>
          <w:jc w:val="center"/>
        </w:trPr>
        <w:tc>
          <w:tcPr>
            <w:tcW w:w="530"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8</w:t>
            </w:r>
          </w:p>
        </w:tc>
        <w:tc>
          <w:tcPr>
            <w:tcW w:w="1499"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凝结时间差</w:t>
            </w:r>
          </w:p>
        </w:tc>
        <w:tc>
          <w:tcPr>
            <w:tcW w:w="4443" w:type="dxa"/>
            <w:gridSpan w:val="2"/>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≤30min</w:t>
            </w:r>
          </w:p>
        </w:tc>
        <w:tc>
          <w:tcPr>
            <w:tcW w:w="2621"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按JGJ63检验</w:t>
            </w:r>
          </w:p>
        </w:tc>
      </w:tr>
    </w:tbl>
    <w:p>
      <w:pPr>
        <w:tabs>
          <w:tab w:val="left" w:pos="3430"/>
        </w:tabs>
        <w:adjustRightInd w:val="0"/>
        <w:snapToGrid w:val="0"/>
        <w:ind w:firstLine="422" w:firstLineChars="200"/>
        <w:rPr>
          <w:color w:val="auto"/>
          <w:sz w:val="21"/>
          <w:szCs w:val="21"/>
        </w:rPr>
      </w:pPr>
      <w:r>
        <w:rPr>
          <w:b/>
          <w:color w:val="auto"/>
          <w:sz w:val="21"/>
          <w:szCs w:val="21"/>
        </w:rPr>
        <w:t>注</w:t>
      </w:r>
      <w:r>
        <w:rPr>
          <w:color w:val="auto"/>
          <w:sz w:val="21"/>
          <w:szCs w:val="21"/>
        </w:rPr>
        <w:t>：</w:t>
      </w:r>
      <w:r>
        <w:rPr>
          <w:b/>
          <w:bCs/>
          <w:color w:val="auto"/>
          <w:sz w:val="21"/>
          <w:szCs w:val="21"/>
        </w:rPr>
        <w:t>1</w:t>
      </w:r>
      <w:r>
        <w:rPr>
          <w:color w:val="auto"/>
          <w:sz w:val="21"/>
          <w:szCs w:val="21"/>
        </w:rPr>
        <w:t>拌和用水可采用饮用水，不得采用未经淡化的海水。</w:t>
      </w:r>
    </w:p>
    <w:p>
      <w:pPr>
        <w:tabs>
          <w:tab w:val="left" w:pos="3430"/>
        </w:tabs>
        <w:adjustRightInd w:val="0"/>
        <w:snapToGrid w:val="0"/>
        <w:ind w:firstLine="843" w:firstLineChars="400"/>
        <w:rPr>
          <w:color w:val="auto"/>
          <w:sz w:val="18"/>
          <w:szCs w:val="18"/>
        </w:rPr>
      </w:pPr>
      <w:r>
        <w:rPr>
          <w:b/>
          <w:bCs/>
          <w:color w:val="auto"/>
          <w:sz w:val="21"/>
          <w:szCs w:val="21"/>
        </w:rPr>
        <w:t>2</w:t>
      </w:r>
      <w:r>
        <w:rPr>
          <w:color w:val="auto"/>
          <w:sz w:val="21"/>
          <w:szCs w:val="21"/>
        </w:rPr>
        <w:t>养护用水除不溶物、可溶物可不作要求外，其他质量要求同拌和用水。养护用水不得采用海水。</w:t>
      </w:r>
      <w:r>
        <w:rPr>
          <w:color w:val="auto"/>
          <w:sz w:val="30"/>
          <w:szCs w:val="30"/>
        </w:rPr>
        <w:br w:type="page"/>
      </w:r>
    </w:p>
    <w:p>
      <w:pPr>
        <w:pStyle w:val="2"/>
        <w:pageBreakBefore/>
        <w:spacing w:before="600" w:beforeLines="0" w:after="600" w:afterLines="0" w:line="400" w:lineRule="exact"/>
        <w:rPr>
          <w:rFonts w:eastAsia="黑体"/>
          <w:b w:val="0"/>
          <w:color w:val="auto"/>
          <w:sz w:val="32"/>
        </w:rPr>
      </w:pPr>
      <w:bookmarkStart w:id="17" w:name="_Toc1658235"/>
      <w:bookmarkStart w:id="18" w:name="_Toc529969550"/>
      <w:r>
        <w:rPr>
          <w:rFonts w:eastAsia="黑体"/>
          <w:b w:val="0"/>
          <w:color w:val="auto"/>
          <w:sz w:val="32"/>
        </w:rPr>
        <w:t>5  湿喷混凝土配合比设计及性能</w:t>
      </w:r>
      <w:bookmarkEnd w:id="17"/>
      <w:bookmarkEnd w:id="18"/>
    </w:p>
    <w:p>
      <w:pPr>
        <w:pStyle w:val="3"/>
        <w:keepNext/>
        <w:keepLines/>
        <w:spacing w:before="360" w:beforeLines="0" w:after="360" w:afterLines="0" w:line="400" w:lineRule="atLeast"/>
        <w:rPr>
          <w:rFonts w:eastAsia="黑体"/>
          <w:b w:val="0"/>
          <w:color w:val="auto"/>
          <w:sz w:val="24"/>
          <w:szCs w:val="24"/>
        </w:rPr>
      </w:pPr>
      <w:bookmarkStart w:id="19" w:name="_Toc1658236"/>
      <w:bookmarkStart w:id="20" w:name="_Toc529969551"/>
      <w:r>
        <w:rPr>
          <w:rFonts w:eastAsia="黑体"/>
          <w:b w:val="0"/>
          <w:color w:val="auto"/>
          <w:sz w:val="24"/>
          <w:szCs w:val="24"/>
        </w:rPr>
        <w:t>5.1  一般规定</w:t>
      </w:r>
      <w:bookmarkEnd w:id="19"/>
      <w:bookmarkEnd w:id="20"/>
    </w:p>
    <w:p>
      <w:pPr>
        <w:pStyle w:val="48"/>
        <w:numPr>
          <w:ilvl w:val="0"/>
          <w:numId w:val="15"/>
        </w:numPr>
        <w:ind w:left="0" w:firstLine="0"/>
        <w:rPr>
          <w:color w:val="auto"/>
          <w:szCs w:val="24"/>
        </w:rPr>
      </w:pPr>
      <w:r>
        <w:rPr>
          <w:color w:val="auto"/>
          <w:szCs w:val="24"/>
        </w:rPr>
        <w:t>湿喷混凝土早期强度应符合设计要求。当设计无要求时，应符合5.2.2条规定。</w:t>
      </w:r>
    </w:p>
    <w:p>
      <w:pPr>
        <w:pStyle w:val="48"/>
        <w:numPr>
          <w:ilvl w:val="0"/>
          <w:numId w:val="15"/>
        </w:numPr>
        <w:ind w:left="0" w:firstLine="0"/>
        <w:rPr>
          <w:color w:val="auto"/>
          <w:szCs w:val="24"/>
        </w:rPr>
      </w:pPr>
      <w:r>
        <w:rPr>
          <w:color w:val="auto"/>
          <w:szCs w:val="24"/>
        </w:rPr>
        <w:t>冻融侵蚀环境、化学侵蚀环境的永久性湿喷混凝土耐久性应符合设计要求。</w:t>
      </w:r>
    </w:p>
    <w:p>
      <w:pPr>
        <w:pStyle w:val="48"/>
        <w:numPr>
          <w:ilvl w:val="0"/>
          <w:numId w:val="15"/>
        </w:numPr>
        <w:ind w:left="0" w:firstLine="0"/>
        <w:rPr>
          <w:color w:val="auto"/>
          <w:szCs w:val="24"/>
        </w:rPr>
      </w:pPr>
      <w:r>
        <w:rPr>
          <w:color w:val="auto"/>
          <w:szCs w:val="24"/>
        </w:rPr>
        <w:t>湿喷混凝土拌合物性能应满足设计和施工要求。湿喷混凝土拌合物性能试验方法应符合现行国家标准《混凝土拌合物性能试验方法》GB/T50080的规定。</w:t>
      </w:r>
      <w:bookmarkStart w:id="21" w:name="_Toc529969552"/>
    </w:p>
    <w:p>
      <w:pPr>
        <w:pStyle w:val="48"/>
        <w:numPr>
          <w:ilvl w:val="0"/>
          <w:numId w:val="15"/>
        </w:numPr>
        <w:ind w:left="0" w:firstLine="0"/>
        <w:rPr>
          <w:color w:val="auto"/>
          <w:szCs w:val="24"/>
        </w:rPr>
      </w:pPr>
      <w:r>
        <w:rPr>
          <w:color w:val="auto"/>
          <w:szCs w:val="24"/>
        </w:rPr>
        <w:t>大变形隧洞中的初期支护宜采用具有高韧性的喷射纤维混凝土</w:t>
      </w:r>
      <w:r>
        <w:rPr>
          <w:rFonts w:hint="eastAsia"/>
          <w:color w:val="auto"/>
          <w:szCs w:val="24"/>
        </w:rPr>
        <w:t>，</w:t>
      </w:r>
      <w:r>
        <w:rPr>
          <w:color w:val="auto"/>
          <w:szCs w:val="24"/>
        </w:rPr>
        <w:t>抗弯强度应符合设计要求。</w:t>
      </w:r>
    </w:p>
    <w:p>
      <w:pPr>
        <w:pStyle w:val="48"/>
        <w:numPr>
          <w:ilvl w:val="0"/>
          <w:numId w:val="15"/>
        </w:numPr>
        <w:ind w:left="0" w:firstLine="0"/>
        <w:rPr>
          <w:color w:val="auto"/>
          <w:szCs w:val="24"/>
        </w:rPr>
      </w:pPr>
      <w:r>
        <w:rPr>
          <w:color w:val="auto"/>
          <w:szCs w:val="24"/>
        </w:rPr>
        <w:t>湿喷混凝土配合比应根据设计使用年限、环境条件和施工工艺等，在综合考虑湿喷混凝土配制强度、拌合物性能、力学性能和耐久性能要求的基础上，计算初始配合比，经试验室试配、试喷、调整得出满足喷射性能、力学性能和耐久性能的配合比。</w:t>
      </w:r>
    </w:p>
    <w:p>
      <w:pPr>
        <w:pStyle w:val="48"/>
        <w:numPr>
          <w:ilvl w:val="0"/>
          <w:numId w:val="15"/>
        </w:numPr>
        <w:ind w:left="0" w:firstLine="0"/>
        <w:rPr>
          <w:color w:val="auto"/>
          <w:szCs w:val="24"/>
        </w:rPr>
      </w:pPr>
      <w:r>
        <w:rPr>
          <w:color w:val="auto"/>
          <w:szCs w:val="24"/>
        </w:rPr>
        <w:t>湿喷混凝土</w:t>
      </w:r>
      <w:r>
        <w:rPr>
          <w:rFonts w:hint="eastAsia"/>
          <w:color w:val="auto"/>
          <w:szCs w:val="24"/>
        </w:rPr>
        <w:t>宜</w:t>
      </w:r>
      <w:r>
        <w:rPr>
          <w:color w:val="auto"/>
          <w:szCs w:val="24"/>
        </w:rPr>
        <w:t>采用硅酸盐水泥或普通硅酸水泥，必要时可采用特种水泥。</w:t>
      </w:r>
    </w:p>
    <w:bookmarkEnd w:id="21"/>
    <w:p>
      <w:pPr>
        <w:pStyle w:val="3"/>
        <w:keepNext/>
        <w:keepLines/>
        <w:spacing w:before="360" w:beforeLines="0" w:after="360" w:afterLines="0" w:line="400" w:lineRule="atLeast"/>
        <w:rPr>
          <w:rFonts w:eastAsia="黑体"/>
          <w:b w:val="0"/>
          <w:color w:val="auto"/>
          <w:sz w:val="24"/>
          <w:szCs w:val="24"/>
        </w:rPr>
      </w:pPr>
      <w:bookmarkStart w:id="22" w:name="_Toc1658237"/>
      <w:r>
        <w:rPr>
          <w:rFonts w:eastAsia="黑体"/>
          <w:b w:val="0"/>
          <w:color w:val="auto"/>
          <w:sz w:val="24"/>
          <w:szCs w:val="24"/>
        </w:rPr>
        <w:t>5.2  湿喷混凝土性能</w:t>
      </w:r>
      <w:bookmarkEnd w:id="22"/>
    </w:p>
    <w:p>
      <w:pPr>
        <w:pStyle w:val="48"/>
        <w:numPr>
          <w:ilvl w:val="0"/>
          <w:numId w:val="16"/>
        </w:numPr>
        <w:rPr>
          <w:color w:val="auto"/>
          <w:szCs w:val="24"/>
        </w:rPr>
      </w:pPr>
      <w:r>
        <w:rPr>
          <w:color w:val="auto"/>
          <w:szCs w:val="24"/>
        </w:rPr>
        <w:t>湿喷混凝土拌合物性能应符合下列规定：</w:t>
      </w:r>
    </w:p>
    <w:p>
      <w:pPr>
        <w:ind w:firstLine="482" w:firstLineChars="200"/>
        <w:rPr>
          <w:color w:val="auto"/>
          <w:szCs w:val="24"/>
        </w:rPr>
      </w:pPr>
      <w:r>
        <w:rPr>
          <w:rFonts w:eastAsia="黑体"/>
          <w:b/>
          <w:bCs/>
          <w:color w:val="auto"/>
        </w:rPr>
        <w:t>1</w:t>
      </w:r>
      <w:r>
        <w:rPr>
          <w:color w:val="auto"/>
          <w:szCs w:val="24"/>
        </w:rPr>
        <w:t xml:space="preserve">  湿喷混凝土应具有良好的黏聚性，不得离析和泌水，并应满足设计和施工要求。</w:t>
      </w:r>
    </w:p>
    <w:p>
      <w:pPr>
        <w:ind w:firstLine="482" w:firstLineChars="200"/>
        <w:rPr>
          <w:color w:val="auto"/>
          <w:szCs w:val="24"/>
        </w:rPr>
      </w:pPr>
      <w:r>
        <w:rPr>
          <w:rFonts w:eastAsia="黑体"/>
          <w:b/>
          <w:bCs/>
          <w:color w:val="auto"/>
        </w:rPr>
        <w:t>2</w:t>
      </w:r>
      <w:r>
        <w:rPr>
          <w:color w:val="auto"/>
          <w:szCs w:val="24"/>
        </w:rPr>
        <w:t xml:space="preserve">  湿喷混凝土拌和物坍落度不宜大于180mm。</w:t>
      </w:r>
    </w:p>
    <w:p>
      <w:pPr>
        <w:ind w:firstLine="482" w:firstLineChars="200"/>
        <w:rPr>
          <w:color w:val="auto"/>
          <w:szCs w:val="24"/>
        </w:rPr>
      </w:pPr>
      <w:r>
        <w:rPr>
          <w:rFonts w:eastAsia="黑体"/>
          <w:b/>
          <w:bCs/>
          <w:color w:val="auto"/>
        </w:rPr>
        <w:t>3</w:t>
      </w:r>
      <w:r>
        <w:rPr>
          <w:color w:val="auto"/>
          <w:szCs w:val="24"/>
        </w:rPr>
        <w:t xml:space="preserve">  有抗冻要求的湿喷混凝土拌和物含气量不宜小于4%。</w:t>
      </w:r>
    </w:p>
    <w:p>
      <w:pPr>
        <w:autoSpaceDE w:val="0"/>
        <w:autoSpaceDN w:val="0"/>
        <w:adjustRightInd w:val="0"/>
        <w:ind w:firstLine="482" w:firstLineChars="200"/>
        <w:rPr>
          <w:color w:val="auto"/>
          <w:szCs w:val="24"/>
        </w:rPr>
      </w:pPr>
      <w:r>
        <w:rPr>
          <w:rFonts w:eastAsia="黑体"/>
          <w:b/>
          <w:bCs/>
          <w:color w:val="auto"/>
        </w:rPr>
        <w:t>4</w:t>
      </w:r>
      <w:r>
        <w:rPr>
          <w:color w:val="auto"/>
          <w:szCs w:val="24"/>
        </w:rPr>
        <w:t xml:space="preserve">  湿喷混凝土氯离子含量不应超过胶凝材料总量的0.10%,钢纤维湿喷混凝土氯离子含量不应超过胶凝材料总量的0.06%。</w:t>
      </w:r>
    </w:p>
    <w:p>
      <w:pPr>
        <w:ind w:firstLine="482" w:firstLineChars="200"/>
        <w:rPr>
          <w:color w:val="auto"/>
          <w:szCs w:val="24"/>
        </w:rPr>
      </w:pPr>
      <w:r>
        <w:rPr>
          <w:rFonts w:eastAsia="黑体"/>
          <w:b/>
          <w:bCs/>
          <w:color w:val="auto"/>
        </w:rPr>
        <w:t>5</w:t>
      </w:r>
      <w:r>
        <w:rPr>
          <w:color w:val="auto"/>
          <w:szCs w:val="24"/>
        </w:rPr>
        <w:t xml:space="preserve">  湿喷混凝土中三氧化硫含量不应超过胶凝材料总量的4.0%。</w:t>
      </w:r>
    </w:p>
    <w:p>
      <w:pPr>
        <w:pStyle w:val="48"/>
        <w:numPr>
          <w:ilvl w:val="0"/>
          <w:numId w:val="16"/>
        </w:numPr>
        <w:ind w:left="0" w:firstLine="0"/>
        <w:rPr>
          <w:color w:val="auto"/>
          <w:szCs w:val="24"/>
        </w:rPr>
      </w:pPr>
      <w:r>
        <w:rPr>
          <w:color w:val="auto"/>
          <w:szCs w:val="24"/>
        </w:rPr>
        <w:t>湿喷混凝土力学性能应符合下列规定：</w:t>
      </w:r>
    </w:p>
    <w:p>
      <w:pPr>
        <w:ind w:firstLine="482" w:firstLineChars="200"/>
        <w:rPr>
          <w:color w:val="auto"/>
          <w:szCs w:val="24"/>
        </w:rPr>
      </w:pPr>
      <w:r>
        <w:rPr>
          <w:rFonts w:eastAsia="黑体"/>
          <w:b/>
          <w:bCs/>
          <w:color w:val="auto"/>
        </w:rPr>
        <w:t>1</w:t>
      </w:r>
      <w:r>
        <w:rPr>
          <w:color w:val="auto"/>
          <w:szCs w:val="24"/>
        </w:rPr>
        <w:t xml:space="preserve">  湿喷混凝土力学性能试件应进行大板喷射取样制作，制作方法应按本规程附录B执行。</w:t>
      </w:r>
    </w:p>
    <w:p>
      <w:pPr>
        <w:ind w:firstLine="482" w:firstLineChars="200"/>
        <w:rPr>
          <w:color w:val="auto"/>
          <w:szCs w:val="24"/>
        </w:rPr>
      </w:pPr>
      <w:r>
        <w:rPr>
          <w:rFonts w:eastAsia="黑体"/>
          <w:b/>
          <w:bCs/>
          <w:color w:val="auto"/>
        </w:rPr>
        <w:t>2</w:t>
      </w:r>
      <w:r>
        <w:rPr>
          <w:color w:val="auto"/>
          <w:szCs w:val="24"/>
        </w:rPr>
        <w:t xml:space="preserve">  湿喷混凝土试件应进行28d龄期抗压强度试验，抗压强度试验方法应按本规程附录C执行，强度评定按《铁路混凝土强度检验评定标准》TB10425的规定进行检验评定。</w:t>
      </w:r>
    </w:p>
    <w:p>
      <w:pPr>
        <w:ind w:firstLine="482" w:firstLineChars="200"/>
        <w:rPr>
          <w:color w:val="auto"/>
          <w:szCs w:val="24"/>
        </w:rPr>
      </w:pPr>
      <w:r>
        <w:rPr>
          <w:rFonts w:eastAsia="黑体"/>
          <w:b/>
          <w:bCs/>
          <w:color w:val="auto"/>
        </w:rPr>
        <w:t>3</w:t>
      </w:r>
      <w:r>
        <w:rPr>
          <w:color w:val="auto"/>
          <w:szCs w:val="24"/>
        </w:rPr>
        <w:t xml:space="preserve">  C25及以上湿喷混凝土1d龄期混凝土抗压强度应不低于10MPa。湿喷混凝土早期强度宜采用射钉法或无底试模方法检测,试验方法按《铁路工程结构混凝土强度检测规程》TB10426执行。</w:t>
      </w:r>
    </w:p>
    <w:p>
      <w:pPr>
        <w:ind w:firstLine="482" w:firstLineChars="200"/>
        <w:rPr>
          <w:color w:val="auto"/>
          <w:szCs w:val="24"/>
        </w:rPr>
      </w:pPr>
      <w:r>
        <w:rPr>
          <w:rFonts w:hint="eastAsia" w:eastAsia="黑体"/>
          <w:b/>
          <w:bCs/>
          <w:color w:val="auto"/>
        </w:rPr>
        <w:t>4</w:t>
      </w:r>
      <w:r>
        <w:rPr>
          <w:rFonts w:hint="eastAsia"/>
          <w:color w:val="auto"/>
          <w:szCs w:val="24"/>
        </w:rPr>
        <w:t>喷射混凝土能量吸收应不小于表5</w:t>
      </w:r>
      <w:r>
        <w:rPr>
          <w:color w:val="auto"/>
          <w:szCs w:val="24"/>
        </w:rPr>
        <w:t>.2.2</w:t>
      </w:r>
      <w:r>
        <w:rPr>
          <w:rFonts w:hint="eastAsia"/>
          <w:color w:val="auto"/>
          <w:szCs w:val="24"/>
        </w:rPr>
        <w:t>-1，试验应按照本规程附录</w:t>
      </w:r>
      <w:r>
        <w:rPr>
          <w:color w:val="auto"/>
          <w:szCs w:val="24"/>
        </w:rPr>
        <w:t>D</w:t>
      </w:r>
      <w:r>
        <w:rPr>
          <w:rFonts w:hint="eastAsia"/>
          <w:color w:val="auto"/>
          <w:szCs w:val="24"/>
        </w:rPr>
        <w:t>执行。</w:t>
      </w:r>
    </w:p>
    <w:p>
      <w:pPr>
        <w:spacing w:line="400" w:lineRule="atLeast"/>
        <w:ind w:firstLine="315" w:firstLineChars="150"/>
        <w:jc w:val="center"/>
        <w:rPr>
          <w:rFonts w:eastAsia="黑体"/>
          <w:bCs/>
          <w:color w:val="auto"/>
          <w:sz w:val="21"/>
          <w:szCs w:val="21"/>
        </w:rPr>
      </w:pPr>
      <w:r>
        <w:rPr>
          <w:rFonts w:hint="eastAsia" w:eastAsia="黑体"/>
          <w:bCs/>
          <w:color w:val="auto"/>
          <w:sz w:val="21"/>
          <w:szCs w:val="21"/>
        </w:rPr>
        <w:t>表5</w:t>
      </w:r>
      <w:r>
        <w:rPr>
          <w:rFonts w:eastAsia="黑体"/>
          <w:bCs/>
          <w:color w:val="auto"/>
          <w:sz w:val="21"/>
          <w:szCs w:val="21"/>
        </w:rPr>
        <w:t>.2.2</w:t>
      </w:r>
      <w:r>
        <w:rPr>
          <w:rFonts w:hint="eastAsia" w:eastAsia="黑体"/>
          <w:bCs/>
          <w:color w:val="auto"/>
          <w:sz w:val="21"/>
          <w:szCs w:val="21"/>
        </w:rPr>
        <w:t>-1 不同能量等级下的能量吸收值</w:t>
      </w:r>
    </w:p>
    <w:tbl>
      <w:tblPr>
        <w:tblStyle w:val="45"/>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6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972" w:type="dxa"/>
            <w:vAlign w:val="center"/>
          </w:tcPr>
          <w:p>
            <w:pPr>
              <w:tabs>
                <w:tab w:val="left" w:pos="3430"/>
              </w:tabs>
              <w:adjustRightInd w:val="0"/>
              <w:snapToGrid w:val="0"/>
              <w:spacing w:line="240" w:lineRule="exact"/>
              <w:jc w:val="center"/>
              <w:rPr>
                <w:color w:val="auto"/>
                <w:kern w:val="0"/>
                <w:sz w:val="18"/>
                <w:szCs w:val="18"/>
              </w:rPr>
            </w:pPr>
            <w:r>
              <w:rPr>
                <w:rFonts w:hint="eastAsia"/>
                <w:color w:val="auto"/>
                <w:kern w:val="0"/>
                <w:sz w:val="18"/>
                <w:szCs w:val="18"/>
              </w:rPr>
              <w:t>能量吸收等级</w:t>
            </w:r>
          </w:p>
        </w:tc>
        <w:tc>
          <w:tcPr>
            <w:tcW w:w="6068" w:type="dxa"/>
            <w:vAlign w:val="center"/>
          </w:tcPr>
          <w:p>
            <w:pPr>
              <w:tabs>
                <w:tab w:val="left" w:pos="3430"/>
              </w:tabs>
              <w:adjustRightInd w:val="0"/>
              <w:snapToGrid w:val="0"/>
              <w:spacing w:line="240" w:lineRule="exact"/>
              <w:jc w:val="center"/>
              <w:rPr>
                <w:color w:val="auto"/>
                <w:kern w:val="0"/>
                <w:sz w:val="18"/>
                <w:szCs w:val="18"/>
              </w:rPr>
            </w:pPr>
            <w:r>
              <w:rPr>
                <w:rFonts w:hint="eastAsia"/>
                <w:color w:val="auto"/>
                <w:kern w:val="0"/>
                <w:sz w:val="18"/>
                <w:szCs w:val="18"/>
              </w:rPr>
              <w:t>试件中心点挠度为2</w:t>
            </w:r>
            <w:r>
              <w:rPr>
                <w:color w:val="auto"/>
                <w:kern w:val="0"/>
                <w:sz w:val="18"/>
                <w:szCs w:val="18"/>
              </w:rPr>
              <w:t>5mm</w:t>
            </w:r>
            <w:r>
              <w:rPr>
                <w:rFonts w:hint="eastAsia"/>
                <w:color w:val="auto"/>
                <w:kern w:val="0"/>
                <w:sz w:val="18"/>
                <w:szCs w:val="18"/>
              </w:rPr>
              <w:t>的吸收能量吸收值（J）</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972" w:type="dxa"/>
            <w:vAlign w:val="center"/>
          </w:tcPr>
          <w:p>
            <w:pPr>
              <w:spacing w:line="240" w:lineRule="auto"/>
              <w:jc w:val="center"/>
              <w:rPr>
                <w:color w:val="auto"/>
                <w:kern w:val="0"/>
                <w:sz w:val="18"/>
                <w:szCs w:val="18"/>
              </w:rPr>
            </w:pPr>
            <w:r>
              <w:rPr>
                <w:color w:val="auto"/>
                <w:kern w:val="0"/>
                <w:sz w:val="18"/>
                <w:szCs w:val="18"/>
              </w:rPr>
              <w:t>E500</w:t>
            </w:r>
          </w:p>
        </w:tc>
        <w:tc>
          <w:tcPr>
            <w:tcW w:w="6068" w:type="dxa"/>
            <w:vAlign w:val="center"/>
          </w:tcPr>
          <w:p>
            <w:pPr>
              <w:spacing w:line="240" w:lineRule="auto"/>
              <w:jc w:val="center"/>
              <w:rPr>
                <w:color w:val="auto"/>
                <w:kern w:val="0"/>
                <w:sz w:val="18"/>
                <w:szCs w:val="18"/>
              </w:rPr>
            </w:pPr>
            <w:r>
              <w:rPr>
                <w:rFonts w:hint="eastAsia"/>
                <w:color w:val="auto"/>
                <w:kern w:val="0"/>
                <w:sz w:val="18"/>
                <w:szCs w:val="18"/>
              </w:rPr>
              <w:t>5</w:t>
            </w:r>
            <w:r>
              <w:rPr>
                <w:color w:val="auto"/>
                <w:kern w:val="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972" w:type="dxa"/>
            <w:vAlign w:val="center"/>
          </w:tcPr>
          <w:p>
            <w:pPr>
              <w:spacing w:line="240" w:lineRule="auto"/>
              <w:jc w:val="center"/>
              <w:rPr>
                <w:color w:val="auto"/>
                <w:kern w:val="0"/>
                <w:sz w:val="18"/>
                <w:szCs w:val="18"/>
              </w:rPr>
            </w:pPr>
            <w:r>
              <w:rPr>
                <w:rFonts w:hint="eastAsia"/>
                <w:color w:val="auto"/>
                <w:kern w:val="0"/>
                <w:sz w:val="18"/>
                <w:szCs w:val="18"/>
              </w:rPr>
              <w:t>E</w:t>
            </w:r>
            <w:r>
              <w:rPr>
                <w:color w:val="auto"/>
                <w:kern w:val="0"/>
                <w:sz w:val="18"/>
                <w:szCs w:val="18"/>
              </w:rPr>
              <w:t>700</w:t>
            </w:r>
          </w:p>
        </w:tc>
        <w:tc>
          <w:tcPr>
            <w:tcW w:w="6068" w:type="dxa"/>
            <w:vAlign w:val="center"/>
          </w:tcPr>
          <w:p>
            <w:pPr>
              <w:spacing w:line="240" w:lineRule="auto"/>
              <w:jc w:val="center"/>
              <w:rPr>
                <w:color w:val="auto"/>
                <w:kern w:val="0"/>
                <w:sz w:val="18"/>
                <w:szCs w:val="18"/>
              </w:rPr>
            </w:pPr>
            <w:r>
              <w:rPr>
                <w:rFonts w:hint="eastAsia"/>
                <w:color w:val="auto"/>
                <w:kern w:val="0"/>
                <w:sz w:val="18"/>
                <w:szCs w:val="18"/>
              </w:rPr>
              <w:t>7</w:t>
            </w:r>
            <w:r>
              <w:rPr>
                <w:color w:val="auto"/>
                <w:kern w:val="0"/>
                <w:sz w:val="18"/>
                <w:szCs w:val="18"/>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81" w:hRule="atLeast"/>
        </w:trPr>
        <w:tc>
          <w:tcPr>
            <w:tcW w:w="2972" w:type="dxa"/>
            <w:vAlign w:val="center"/>
          </w:tcPr>
          <w:p>
            <w:pPr>
              <w:spacing w:line="240" w:lineRule="auto"/>
              <w:jc w:val="center"/>
              <w:rPr>
                <w:color w:val="auto"/>
                <w:kern w:val="0"/>
                <w:sz w:val="18"/>
                <w:szCs w:val="18"/>
              </w:rPr>
            </w:pPr>
            <w:r>
              <w:rPr>
                <w:rFonts w:hint="eastAsia"/>
                <w:color w:val="auto"/>
                <w:kern w:val="0"/>
                <w:sz w:val="18"/>
                <w:szCs w:val="18"/>
              </w:rPr>
              <w:t>E</w:t>
            </w:r>
            <w:r>
              <w:rPr>
                <w:color w:val="auto"/>
                <w:kern w:val="0"/>
                <w:sz w:val="18"/>
                <w:szCs w:val="18"/>
              </w:rPr>
              <w:t>1000</w:t>
            </w:r>
          </w:p>
        </w:tc>
        <w:tc>
          <w:tcPr>
            <w:tcW w:w="6068" w:type="dxa"/>
            <w:vAlign w:val="center"/>
          </w:tcPr>
          <w:p>
            <w:pPr>
              <w:spacing w:line="240" w:lineRule="auto"/>
              <w:jc w:val="center"/>
              <w:rPr>
                <w:color w:val="auto"/>
                <w:kern w:val="0"/>
                <w:sz w:val="18"/>
                <w:szCs w:val="18"/>
              </w:rPr>
            </w:pPr>
            <w:r>
              <w:rPr>
                <w:rFonts w:hint="eastAsia"/>
                <w:color w:val="auto"/>
                <w:kern w:val="0"/>
                <w:sz w:val="18"/>
                <w:szCs w:val="18"/>
              </w:rPr>
              <w:t>1</w:t>
            </w:r>
            <w:r>
              <w:rPr>
                <w:color w:val="auto"/>
                <w:kern w:val="0"/>
                <w:sz w:val="18"/>
                <w:szCs w:val="18"/>
              </w:rPr>
              <w:t>000</w:t>
            </w:r>
          </w:p>
        </w:tc>
      </w:tr>
    </w:tbl>
    <w:p>
      <w:pPr>
        <w:pStyle w:val="48"/>
        <w:numPr>
          <w:ilvl w:val="0"/>
          <w:numId w:val="16"/>
        </w:numPr>
        <w:ind w:left="0" w:firstLine="0"/>
        <w:rPr>
          <w:color w:val="auto"/>
          <w:szCs w:val="24"/>
        </w:rPr>
      </w:pPr>
      <w:r>
        <w:rPr>
          <w:color w:val="auto"/>
          <w:szCs w:val="24"/>
        </w:rPr>
        <w:t>湿喷混凝土长期性能与耐久性能应符合设计要求，试验方法应按现行国家标准《普通混凝土长期性能和耐久性能试验方法标准》GB/T50082执行。</w:t>
      </w:r>
    </w:p>
    <w:p>
      <w:pPr>
        <w:pStyle w:val="3"/>
        <w:keepNext/>
        <w:keepLines/>
        <w:spacing w:before="360" w:beforeLines="0" w:after="360" w:afterLines="0" w:line="400" w:lineRule="atLeast"/>
        <w:rPr>
          <w:rFonts w:eastAsia="黑体"/>
          <w:b w:val="0"/>
          <w:color w:val="auto"/>
          <w:sz w:val="24"/>
          <w:szCs w:val="24"/>
        </w:rPr>
      </w:pPr>
      <w:bookmarkStart w:id="23" w:name="_Toc1658238"/>
      <w:bookmarkStart w:id="24" w:name="_Toc529969553"/>
      <w:r>
        <w:rPr>
          <w:rFonts w:eastAsia="黑体"/>
          <w:color w:val="auto"/>
          <w:sz w:val="24"/>
          <w:szCs w:val="24"/>
        </w:rPr>
        <w:t xml:space="preserve">5.3 </w:t>
      </w:r>
      <w:r>
        <w:rPr>
          <w:rFonts w:eastAsia="黑体"/>
          <w:b w:val="0"/>
          <w:color w:val="auto"/>
          <w:sz w:val="24"/>
          <w:szCs w:val="24"/>
        </w:rPr>
        <w:t xml:space="preserve"> 湿喷混凝土配合比设计</w:t>
      </w:r>
      <w:bookmarkEnd w:id="23"/>
      <w:bookmarkEnd w:id="24"/>
    </w:p>
    <w:p>
      <w:pPr>
        <w:pStyle w:val="48"/>
        <w:numPr>
          <w:ilvl w:val="0"/>
          <w:numId w:val="17"/>
        </w:numPr>
        <w:ind w:left="0" w:firstLine="0"/>
        <w:rPr>
          <w:color w:val="auto"/>
          <w:szCs w:val="24"/>
        </w:rPr>
      </w:pPr>
      <w:r>
        <w:rPr>
          <w:color w:val="auto"/>
          <w:szCs w:val="24"/>
        </w:rPr>
        <w:t>湿喷混凝土的配制强度应符合下列规定：</w:t>
      </w:r>
    </w:p>
    <w:p>
      <w:pPr>
        <w:ind w:firstLine="482" w:firstLineChars="200"/>
        <w:jc w:val="left"/>
        <w:rPr>
          <w:color w:val="auto"/>
          <w:szCs w:val="24"/>
        </w:rPr>
      </w:pPr>
      <w:r>
        <w:rPr>
          <w:rFonts w:eastAsia="黑体"/>
          <w:b/>
          <w:bCs/>
          <w:color w:val="auto"/>
        </w:rPr>
        <w:t>1</w:t>
      </w:r>
      <w:r>
        <w:rPr>
          <w:color w:val="auto"/>
          <w:szCs w:val="24"/>
        </w:rPr>
        <w:t>湿喷混凝土的配制强度宜按下式计算</w:t>
      </w:r>
    </w:p>
    <w:p>
      <w:pPr>
        <w:ind w:firstLine="480" w:firstLineChars="200"/>
        <w:jc w:val="right"/>
        <w:rPr>
          <w:color w:val="auto"/>
          <w:szCs w:val="24"/>
        </w:rPr>
      </w:pPr>
      <w:r>
        <w:rPr>
          <w:color w:val="auto"/>
          <w:position w:val="-12"/>
          <w:szCs w:val="24"/>
        </w:rPr>
        <w:object>
          <v:shape id="_x0000_i1032" o:spt="75" type="#_x0000_t75" style="height:18.55pt;width:111.2pt;" o:ole="t" filled="f" o:preferrelative="t" stroked="f" coordsize="21600,21600">
            <v:path/>
            <v:fill on="f" focussize="0,0"/>
            <v:stroke on="f" joinstyle="miter"/>
            <v:imagedata r:id="rId28" o:title=""/>
            <o:lock v:ext="edit" aspectratio="t"/>
            <w10:wrap type="none"/>
            <w10:anchorlock/>
          </v:shape>
          <o:OLEObject Type="Embed" ProgID="Equation.3" ShapeID="_x0000_i1032" DrawAspect="Content" ObjectID="_1468075732" r:id="rId27">
            <o:LockedField>false</o:LockedField>
          </o:OLEObject>
        </w:object>
      </w:r>
      <w:r>
        <w:rPr>
          <w:color w:val="auto"/>
          <w:szCs w:val="24"/>
        </w:rPr>
        <w:t>(5.3.1)</w:t>
      </w:r>
    </w:p>
    <w:p>
      <w:pPr>
        <w:rPr>
          <w:color w:val="auto"/>
          <w:szCs w:val="24"/>
        </w:rPr>
      </w:pPr>
      <w:r>
        <w:rPr>
          <w:color w:val="auto"/>
          <w:szCs w:val="24"/>
        </w:rPr>
        <w:t>式中：</w:t>
      </w:r>
      <w:r>
        <w:rPr>
          <w:color w:val="auto"/>
          <w:szCs w:val="24"/>
        </w:rPr>
        <w:object>
          <v:shape id="_x0000_i1033" o:spt="75" type="#_x0000_t75" style="height:19.95pt;width:23.5pt;" o:ole="t" filled="f" o:preferrelative="t" stroked="f" coordsize="21600,21600">
            <v:path/>
            <v:fill on="f" focussize="0,0"/>
            <v:stroke on="f" joinstyle="miter"/>
            <v:imagedata r:id="rId30" o:title=""/>
            <o:lock v:ext="edit" aspectratio="t"/>
            <w10:wrap type="none"/>
            <w10:anchorlock/>
          </v:shape>
          <o:OLEObject Type="Embed" ProgID="Equation.3" ShapeID="_x0000_i1033" DrawAspect="Content" ObjectID="_1468075733" r:id="rId29">
            <o:LockedField>false</o:LockedField>
          </o:OLEObject>
        </w:object>
      </w:r>
      <w:r>
        <w:rPr>
          <w:color w:val="auto"/>
          <w:szCs w:val="24"/>
        </w:rPr>
        <w:t>——喷射混凝土配制强度值（MPa）；</w:t>
      </w:r>
    </w:p>
    <w:p>
      <w:pPr>
        <w:ind w:firstLine="720" w:firstLineChars="300"/>
        <w:rPr>
          <w:color w:val="auto"/>
          <w:szCs w:val="24"/>
        </w:rPr>
      </w:pPr>
      <w:r>
        <w:rPr>
          <w:color w:val="auto"/>
          <w:szCs w:val="24"/>
        </w:rPr>
        <w:object>
          <v:shape id="_x0000_i1034" o:spt="75" type="#_x0000_t75" style="height:19.95pt;width:24.25pt;" o:ole="t" filled="f" o:preferrelative="t" stroked="f" coordsize="21600,21600">
            <v:path/>
            <v:fill on="f" focussize="0,0"/>
            <v:stroke on="f" joinstyle="miter"/>
            <v:imagedata r:id="rId16" o:title=""/>
            <o:lock v:ext="edit" aspectratio="t"/>
            <w10:wrap type="none"/>
            <w10:anchorlock/>
          </v:shape>
          <o:OLEObject Type="Embed" ProgID="Equation.3" ShapeID="_x0000_i1034" DrawAspect="Content" ObjectID="_1468075734" r:id="rId31">
            <o:LockedField>false</o:LockedField>
          </o:OLEObject>
        </w:object>
      </w:r>
      <w:r>
        <w:rPr>
          <w:rFonts w:hint="eastAsia"/>
          <w:color w:val="auto"/>
          <w:szCs w:val="24"/>
        </w:rPr>
        <w:t>——</w:t>
      </w:r>
      <w:r>
        <w:rPr>
          <w:color w:val="auto"/>
          <w:szCs w:val="24"/>
        </w:rPr>
        <w:t>喷射混凝土立方体抗压强度标准值（MPa）；</w:t>
      </w:r>
    </w:p>
    <w:p>
      <w:pPr>
        <w:ind w:firstLine="720" w:firstLineChars="300"/>
        <w:rPr>
          <w:color w:val="auto"/>
          <w:szCs w:val="24"/>
        </w:rPr>
      </w:pPr>
      <w:r>
        <w:rPr>
          <w:color w:val="auto"/>
          <w:szCs w:val="24"/>
        </w:rPr>
        <w:t>σ</w:t>
      </w:r>
      <w:r>
        <w:rPr>
          <w:rFonts w:hint="eastAsia"/>
          <w:color w:val="auto"/>
          <w:szCs w:val="24"/>
        </w:rPr>
        <w:t>——</w:t>
      </w:r>
      <w:r>
        <w:rPr>
          <w:color w:val="auto"/>
          <w:szCs w:val="24"/>
        </w:rPr>
        <w:t>混凝土强度标准差（MPa）。</w:t>
      </w:r>
    </w:p>
    <w:p>
      <w:pPr>
        <w:ind w:firstLine="482" w:firstLineChars="200"/>
        <w:rPr>
          <w:color w:val="auto"/>
          <w:szCs w:val="24"/>
        </w:rPr>
      </w:pPr>
      <w:r>
        <w:rPr>
          <w:rFonts w:eastAsia="黑体"/>
          <w:b/>
          <w:bCs/>
          <w:color w:val="auto"/>
        </w:rPr>
        <w:t>2</w:t>
      </w:r>
      <w:r>
        <w:rPr>
          <w:color w:val="auto"/>
          <w:szCs w:val="24"/>
        </w:rPr>
        <w:t xml:space="preserve">  湿喷混凝土强度标准差σ应按现行行业标准《普通混凝土配合比设计规程》JGJ55确定。</w:t>
      </w:r>
    </w:p>
    <w:p>
      <w:pPr>
        <w:pStyle w:val="48"/>
        <w:numPr>
          <w:ilvl w:val="0"/>
          <w:numId w:val="17"/>
        </w:numPr>
        <w:ind w:left="0" w:firstLine="0"/>
        <w:rPr>
          <w:color w:val="auto"/>
          <w:szCs w:val="24"/>
        </w:rPr>
      </w:pPr>
      <w:r>
        <w:rPr>
          <w:color w:val="auto"/>
          <w:szCs w:val="24"/>
        </w:rPr>
        <w:t>湿喷混凝土试配的水胶比应考虑喷射工艺、速凝剂对强度的影响。在无配制经验时，湿喷混凝土试配的水胶比宜符合下列规定：</w:t>
      </w:r>
    </w:p>
    <w:p>
      <w:pPr>
        <w:ind w:firstLine="482" w:firstLineChars="200"/>
        <w:rPr>
          <w:color w:val="auto"/>
          <w:szCs w:val="24"/>
        </w:rPr>
      </w:pPr>
      <w:r>
        <w:rPr>
          <w:rFonts w:eastAsia="黑体"/>
          <w:b/>
          <w:bCs/>
          <w:color w:val="auto"/>
        </w:rPr>
        <w:t xml:space="preserve">1 </w:t>
      </w:r>
      <w:r>
        <w:rPr>
          <w:color w:val="auto"/>
          <w:szCs w:val="24"/>
        </w:rPr>
        <w:t xml:space="preserve"> 湿喷混凝土的水胶比宜按下式计算</w:t>
      </w:r>
    </w:p>
    <w:p>
      <w:pPr>
        <w:wordWrap w:val="0"/>
        <w:spacing w:line="400" w:lineRule="atLeast"/>
        <w:ind w:firstLine="480" w:firstLineChars="200"/>
        <w:jc w:val="right"/>
        <w:rPr>
          <w:color w:val="auto"/>
          <w:szCs w:val="24"/>
        </w:rPr>
      </w:pPr>
      <w:r>
        <w:rPr>
          <w:color w:val="auto"/>
          <w:szCs w:val="24"/>
        </w:rPr>
        <w:object>
          <v:shape id="_x0000_i1035" o:spt="75" type="#_x0000_t75" style="height:36.35pt;width:125.45pt;" o:ole="t" filled="f" o:preferrelative="t" stroked="f" coordsize="21600,21600">
            <v:path/>
            <v:fill on="f" focussize="0,0"/>
            <v:stroke on="f" joinstyle="miter"/>
            <v:imagedata r:id="rId33" o:title=""/>
            <o:lock v:ext="edit" aspectratio="t"/>
            <w10:wrap type="none"/>
            <w10:anchorlock/>
          </v:shape>
          <o:OLEObject Type="Embed" ProgID="Equation.3" ShapeID="_x0000_i1035" DrawAspect="Content" ObjectID="_1468075735" r:id="rId32">
            <o:LockedField>false</o:LockedField>
          </o:OLEObject>
        </w:object>
      </w:r>
      <w:r>
        <w:rPr>
          <w:color w:val="auto"/>
          <w:szCs w:val="24"/>
        </w:rPr>
        <w:t>(5.3.2)</w:t>
      </w:r>
    </w:p>
    <w:p>
      <w:pPr>
        <w:rPr>
          <w:color w:val="auto"/>
          <w:szCs w:val="24"/>
        </w:rPr>
      </w:pPr>
      <w:r>
        <w:rPr>
          <w:color w:val="auto"/>
          <w:szCs w:val="24"/>
        </w:rPr>
        <w:t>式中：W/B——混凝土水胶比；</w:t>
      </w:r>
    </w:p>
    <w:p>
      <w:pPr>
        <w:ind w:firstLine="720" w:firstLineChars="300"/>
        <w:rPr>
          <w:color w:val="auto"/>
          <w:szCs w:val="24"/>
        </w:rPr>
      </w:pPr>
      <w:r>
        <w:rPr>
          <w:color w:val="auto"/>
          <w:position w:val="-10"/>
          <w:szCs w:val="24"/>
        </w:rPr>
        <w:object>
          <v:shape id="_x0000_i1036" o:spt="75" type="#_x0000_t75" style="height:18.55pt;width:36.35pt;" o:ole="t" filled="f" o:preferrelative="t" stroked="f" coordsize="21600,21600">
            <v:path/>
            <v:fill on="f" focussize="0,0"/>
            <v:stroke on="f" joinstyle="miter"/>
            <v:imagedata r:id="rId35" o:title=""/>
            <o:lock v:ext="edit" aspectratio="t"/>
            <w10:wrap type="none"/>
            <w10:anchorlock/>
          </v:shape>
          <o:OLEObject Type="Embed" ProgID="Equation.3" ShapeID="_x0000_i1036" DrawAspect="Content" ObjectID="_1468075736" r:id="rId34">
            <o:LockedField>false</o:LockedField>
          </o:OLEObject>
        </w:object>
      </w:r>
      <w:r>
        <w:rPr>
          <w:color w:val="auto"/>
          <w:szCs w:val="24"/>
        </w:rPr>
        <w:t>——回归系数，按现行行业标准《普通混凝土配合比设计规程》JGJ55确定；</w:t>
      </w:r>
    </w:p>
    <w:p>
      <w:pPr>
        <w:ind w:firstLine="720" w:firstLineChars="300"/>
        <w:rPr>
          <w:color w:val="auto"/>
          <w:szCs w:val="24"/>
        </w:rPr>
      </w:pPr>
      <w:r>
        <w:rPr>
          <w:color w:val="auto"/>
          <w:position w:val="-10"/>
          <w:szCs w:val="24"/>
        </w:rPr>
        <w:object>
          <v:shape id="_x0000_i1037" o:spt="75" type="#_x0000_t75" style="height:16.4pt;width:13.55pt;" o:ole="t" filled="f" o:preferrelative="t" stroked="f" coordsize="21600,21600">
            <v:path/>
            <v:fill on="f" focussize="0,0"/>
            <v:stroke on="f" joinstyle="miter"/>
            <v:imagedata r:id="rId37" o:title=""/>
            <o:lock v:ext="edit" aspectratio="t"/>
            <w10:wrap type="none"/>
            <w10:anchorlock/>
          </v:shape>
          <o:OLEObject Type="Embed" ProgID="Equation.3" ShapeID="_x0000_i1037" DrawAspect="Content" ObjectID="_1468075737" r:id="rId36">
            <o:LockedField>false</o:LockedField>
          </o:OLEObject>
        </w:object>
      </w:r>
      <w:r>
        <w:rPr>
          <w:color w:val="auto"/>
          <w:szCs w:val="24"/>
        </w:rPr>
        <w:t>——混凝土密实性系数，喷射混凝土密实性系数</w:t>
      </w:r>
      <w:r>
        <w:rPr>
          <w:color w:val="auto"/>
          <w:position w:val="-10"/>
          <w:szCs w:val="24"/>
        </w:rPr>
        <w:object>
          <v:shape id="_x0000_i1038" o:spt="75" type="#_x0000_t75" style="height:16.4pt;width:13.55pt;" o:ole="t" filled="f" o:preferrelative="t" stroked="f" coordsize="21600,21600">
            <v:path/>
            <v:fill on="f" focussize="0,0"/>
            <v:stroke on="f" joinstyle="miter"/>
            <v:imagedata r:id="rId39" o:title=""/>
            <o:lock v:ext="edit" aspectratio="t"/>
            <w10:wrap type="none"/>
            <w10:anchorlock/>
          </v:shape>
          <o:OLEObject Type="Embed" ProgID="Equation.3" ShapeID="_x0000_i1038" DrawAspect="Content" ObjectID="_1468075738" r:id="rId38">
            <o:LockedField>false</o:LockedField>
          </o:OLEObject>
        </w:object>
      </w:r>
      <w:r>
        <w:rPr>
          <w:color w:val="auto"/>
          <w:szCs w:val="24"/>
        </w:rPr>
        <w:t>宜为1.05～1.25；</w:t>
      </w:r>
    </w:p>
    <w:p>
      <w:pPr>
        <w:ind w:firstLine="720" w:firstLineChars="300"/>
        <w:rPr>
          <w:color w:val="auto"/>
          <w:szCs w:val="24"/>
        </w:rPr>
      </w:pPr>
      <w:r>
        <w:rPr>
          <w:color w:val="auto"/>
          <w:position w:val="-10"/>
          <w:szCs w:val="24"/>
        </w:rPr>
        <w:object>
          <v:shape id="_x0000_i1039" o:spt="75" type="#_x0000_t75" style="height:16.4pt;width:14.25pt;" o:ole="t" filled="f" o:preferrelative="t" stroked="f" coordsize="21600,21600">
            <v:path/>
            <v:fill on="f" focussize="0,0"/>
            <v:stroke on="f" joinstyle="miter"/>
            <v:imagedata r:id="rId41" o:title=""/>
            <o:lock v:ext="edit" aspectratio="t"/>
            <w10:wrap type="none"/>
            <w10:anchorlock/>
          </v:shape>
          <o:OLEObject Type="Embed" ProgID="Equation.3" ShapeID="_x0000_i1039" DrawAspect="Content" ObjectID="_1468075739" r:id="rId40">
            <o:LockedField>false</o:LockedField>
          </o:OLEObject>
        </w:object>
      </w:r>
      <w:r>
        <w:rPr>
          <w:color w:val="auto"/>
          <w:szCs w:val="24"/>
        </w:rPr>
        <w:t>——速凝剂强度影响系数，速凝剂的强度影响系数</w:t>
      </w:r>
      <w:r>
        <w:rPr>
          <w:color w:val="auto"/>
          <w:position w:val="-10"/>
          <w:szCs w:val="24"/>
        </w:rPr>
        <w:object>
          <v:shape id="_x0000_i1040" o:spt="75" type="#_x0000_t75" style="height:16.4pt;width:13.55pt;" o:ole="t" filled="f" o:preferrelative="t" stroked="f" coordsize="21600,21600">
            <v:path/>
            <v:fill on="f" focussize="0,0"/>
            <v:stroke on="f" joinstyle="miter"/>
            <v:imagedata r:id="rId43" o:title=""/>
            <o:lock v:ext="edit" aspectratio="t"/>
            <w10:wrap type="none"/>
            <w10:anchorlock/>
          </v:shape>
          <o:OLEObject Type="Embed" ProgID="Equation.3" ShapeID="_x0000_i1040" DrawAspect="Content" ObjectID="_1468075740" r:id="rId42">
            <o:LockedField>false</o:LockedField>
          </o:OLEObject>
        </w:object>
      </w:r>
      <w:r>
        <w:rPr>
          <w:color w:val="auto"/>
          <w:szCs w:val="24"/>
        </w:rPr>
        <w:t>宜为1.</w:t>
      </w:r>
      <w:r>
        <w:rPr>
          <w:rFonts w:hint="eastAsia"/>
          <w:color w:val="auto"/>
          <w:szCs w:val="24"/>
        </w:rPr>
        <w:t>00</w:t>
      </w:r>
      <w:r>
        <w:rPr>
          <w:color w:val="auto"/>
          <w:szCs w:val="24"/>
        </w:rPr>
        <w:t>～1.</w:t>
      </w:r>
      <w:r>
        <w:rPr>
          <w:rFonts w:hint="eastAsia"/>
          <w:color w:val="auto"/>
          <w:szCs w:val="24"/>
        </w:rPr>
        <w:t>40</w:t>
      </w:r>
      <w:r>
        <w:rPr>
          <w:color w:val="auto"/>
          <w:szCs w:val="24"/>
        </w:rPr>
        <w:t>；</w:t>
      </w:r>
    </w:p>
    <w:p>
      <w:pPr>
        <w:ind w:firstLine="720" w:firstLineChars="300"/>
        <w:rPr>
          <w:color w:val="auto"/>
          <w:szCs w:val="24"/>
        </w:rPr>
      </w:pPr>
      <w:r>
        <w:rPr>
          <w:color w:val="auto"/>
          <w:position w:val="-10"/>
          <w:szCs w:val="24"/>
        </w:rPr>
        <w:object>
          <v:shape id="_x0000_i1041" o:spt="75" type="#_x0000_t75" style="height:18.55pt;width:13.55pt;" o:ole="t" filled="f" o:preferrelative="t" stroked="f" coordsize="21600,21600">
            <v:path/>
            <v:fill on="f" focussize="0,0"/>
            <v:stroke on="f" joinstyle="miter"/>
            <v:imagedata r:id="rId45" o:title=""/>
            <o:lock v:ext="edit" aspectratio="t"/>
            <w10:wrap type="none"/>
            <w10:anchorlock/>
          </v:shape>
          <o:OLEObject Type="Embed" ProgID="Equation.3" ShapeID="_x0000_i1041" DrawAspect="Content" ObjectID="_1468075741" r:id="rId44">
            <o:LockedField>false</o:LockedField>
          </o:OLEObject>
        </w:object>
      </w:r>
      <w:r>
        <w:rPr>
          <w:color w:val="auto"/>
          <w:szCs w:val="24"/>
        </w:rPr>
        <w:t>——胶凝材料28d胶砂抗压强度（MPa）</w:t>
      </w:r>
      <w:r>
        <w:rPr>
          <w:rFonts w:hint="eastAsia"/>
          <w:color w:val="auto"/>
          <w:szCs w:val="24"/>
        </w:rPr>
        <w:t>。</w:t>
      </w:r>
    </w:p>
    <w:p>
      <w:pPr>
        <w:ind w:firstLine="482" w:firstLineChars="200"/>
        <w:rPr>
          <w:color w:val="auto"/>
          <w:szCs w:val="24"/>
        </w:rPr>
      </w:pPr>
      <w:r>
        <w:rPr>
          <w:rFonts w:eastAsia="黑体"/>
          <w:b/>
          <w:bCs/>
          <w:color w:val="auto"/>
        </w:rPr>
        <w:t>2</w:t>
      </w:r>
      <w:r>
        <w:rPr>
          <w:color w:val="auto"/>
          <w:szCs w:val="24"/>
        </w:rPr>
        <w:t>普通湿喷混凝土的水胶比不大于0.50，用水量宜为180kg/m</w:t>
      </w:r>
      <w:r>
        <w:rPr>
          <w:color w:val="auto"/>
          <w:szCs w:val="24"/>
          <w:vertAlign w:val="superscript"/>
        </w:rPr>
        <w:t>3</w:t>
      </w:r>
      <w:r>
        <w:rPr>
          <w:color w:val="auto"/>
          <w:szCs w:val="24"/>
        </w:rPr>
        <w:t>～200kg/m</w:t>
      </w:r>
      <w:r>
        <w:rPr>
          <w:color w:val="auto"/>
          <w:szCs w:val="24"/>
          <w:vertAlign w:val="superscript"/>
        </w:rPr>
        <w:t>3</w:t>
      </w:r>
      <w:r>
        <w:rPr>
          <w:color w:val="auto"/>
          <w:szCs w:val="24"/>
        </w:rPr>
        <w:t>。</w:t>
      </w:r>
    </w:p>
    <w:p>
      <w:pPr>
        <w:pStyle w:val="48"/>
        <w:numPr>
          <w:ilvl w:val="0"/>
          <w:numId w:val="17"/>
        </w:numPr>
        <w:ind w:left="0" w:firstLine="0"/>
        <w:rPr>
          <w:color w:val="auto"/>
          <w:szCs w:val="24"/>
        </w:rPr>
      </w:pPr>
      <w:r>
        <w:rPr>
          <w:color w:val="auto"/>
          <w:szCs w:val="24"/>
        </w:rPr>
        <w:t>普通湿喷混凝土的胶凝材料用量不宜小于400kg/m</w:t>
      </w:r>
      <w:r>
        <w:rPr>
          <w:color w:val="auto"/>
          <w:szCs w:val="24"/>
          <w:vertAlign w:val="superscript"/>
        </w:rPr>
        <w:t>3</w:t>
      </w:r>
      <w:r>
        <w:rPr>
          <w:color w:val="auto"/>
          <w:szCs w:val="24"/>
        </w:rPr>
        <w:t>，钢纤维喷射混凝士的胶凝材料用量不宜小于450kg/m</w:t>
      </w:r>
      <w:r>
        <w:rPr>
          <w:color w:val="auto"/>
          <w:szCs w:val="24"/>
          <w:vertAlign w:val="superscript"/>
        </w:rPr>
        <w:t>3</w:t>
      </w:r>
      <w:r>
        <w:rPr>
          <w:color w:val="auto"/>
          <w:szCs w:val="24"/>
        </w:rPr>
        <w:t>，高强喷射混凝土的胶凝材料不宜小于500kg/m</w:t>
      </w:r>
      <w:r>
        <w:rPr>
          <w:color w:val="auto"/>
          <w:szCs w:val="24"/>
          <w:vertAlign w:val="superscript"/>
        </w:rPr>
        <w:t>3</w:t>
      </w:r>
      <w:r>
        <w:rPr>
          <w:color w:val="auto"/>
          <w:szCs w:val="24"/>
        </w:rPr>
        <w:t>。</w:t>
      </w:r>
    </w:p>
    <w:p>
      <w:pPr>
        <w:pStyle w:val="48"/>
        <w:numPr>
          <w:ilvl w:val="0"/>
          <w:numId w:val="17"/>
        </w:numPr>
        <w:ind w:left="0" w:firstLine="0"/>
        <w:rPr>
          <w:color w:val="auto"/>
          <w:szCs w:val="24"/>
        </w:rPr>
      </w:pPr>
      <w:r>
        <w:rPr>
          <w:color w:val="auto"/>
          <w:szCs w:val="24"/>
        </w:rPr>
        <w:t>湿喷混凝土中宜适量掺加粉煤灰、矿渣粉或硅灰等矿物掺合料。采用硅酸盐水泥或普通硅酸盐水泥时，矿物掺合料的掺量可为10%～30%,具体掺量通过试验确定。</w:t>
      </w:r>
    </w:p>
    <w:p>
      <w:pPr>
        <w:pStyle w:val="48"/>
        <w:numPr>
          <w:ilvl w:val="0"/>
          <w:numId w:val="17"/>
        </w:numPr>
        <w:ind w:left="0" w:firstLine="0"/>
        <w:rPr>
          <w:color w:val="auto"/>
          <w:szCs w:val="24"/>
        </w:rPr>
      </w:pPr>
      <w:r>
        <w:rPr>
          <w:color w:val="auto"/>
          <w:szCs w:val="24"/>
        </w:rPr>
        <w:t>湿喷混凝土配合比设计时宜采用质量法计算粗细骨料用量。湿喷混凝土的表观密度不宜低于2200kg/m</w:t>
      </w:r>
      <w:r>
        <w:rPr>
          <w:color w:val="auto"/>
          <w:szCs w:val="24"/>
          <w:vertAlign w:val="superscript"/>
        </w:rPr>
        <w:t>3</w:t>
      </w:r>
      <w:r>
        <w:rPr>
          <w:color w:val="auto"/>
          <w:szCs w:val="24"/>
        </w:rPr>
        <w:t>，高强喷射混凝土的表观密度不宜低于2300kg/m</w:t>
      </w:r>
      <w:r>
        <w:rPr>
          <w:color w:val="auto"/>
          <w:szCs w:val="24"/>
          <w:vertAlign w:val="superscript"/>
        </w:rPr>
        <w:t>3</w:t>
      </w:r>
      <w:r>
        <w:rPr>
          <w:color w:val="auto"/>
          <w:szCs w:val="24"/>
        </w:rPr>
        <w:t>。</w:t>
      </w:r>
    </w:p>
    <w:p>
      <w:pPr>
        <w:pStyle w:val="48"/>
        <w:numPr>
          <w:ilvl w:val="0"/>
          <w:numId w:val="17"/>
        </w:numPr>
        <w:ind w:left="0" w:firstLine="0"/>
        <w:rPr>
          <w:color w:val="auto"/>
          <w:szCs w:val="24"/>
        </w:rPr>
      </w:pPr>
      <w:r>
        <w:rPr>
          <w:color w:val="auto"/>
          <w:szCs w:val="24"/>
        </w:rPr>
        <w:t>湿喷混凝土配合比设计时根据拌和物性能要求可选择掺适宜的减水剂。减水剂掺量应通过试验确定。湿喷混凝土用速凝剂与水泥应进行相容性试验，根据速凝效果确定速凝剂掺量。</w:t>
      </w:r>
    </w:p>
    <w:p>
      <w:pPr>
        <w:pStyle w:val="48"/>
        <w:numPr>
          <w:ilvl w:val="0"/>
          <w:numId w:val="17"/>
        </w:numPr>
        <w:ind w:left="0" w:firstLine="0"/>
        <w:rPr>
          <w:color w:val="auto"/>
          <w:szCs w:val="24"/>
        </w:rPr>
      </w:pPr>
      <w:r>
        <w:rPr>
          <w:color w:val="auto"/>
          <w:szCs w:val="24"/>
        </w:rPr>
        <w:t>湿喷混凝土砂率宜为45%～60%。具体应通过试验确定。</w:t>
      </w:r>
    </w:p>
    <w:p>
      <w:pPr>
        <w:pStyle w:val="48"/>
        <w:numPr>
          <w:ilvl w:val="0"/>
          <w:numId w:val="17"/>
        </w:numPr>
        <w:ind w:left="0" w:firstLine="0"/>
        <w:rPr>
          <w:color w:val="auto"/>
          <w:szCs w:val="24"/>
        </w:rPr>
      </w:pPr>
      <w:r>
        <w:rPr>
          <w:color w:val="auto"/>
          <w:szCs w:val="24"/>
        </w:rPr>
        <w:t>用于湿喷混凝土的钢纤维应符合下列规定：</w:t>
      </w:r>
    </w:p>
    <w:p>
      <w:pPr>
        <w:ind w:firstLine="482" w:firstLineChars="200"/>
        <w:rPr>
          <w:color w:val="auto"/>
          <w:szCs w:val="24"/>
        </w:rPr>
      </w:pPr>
      <w:r>
        <w:rPr>
          <w:rFonts w:eastAsia="黑体"/>
          <w:b/>
          <w:bCs/>
          <w:color w:val="auto"/>
        </w:rPr>
        <w:t xml:space="preserve">1  </w:t>
      </w:r>
      <w:r>
        <w:rPr>
          <w:color w:val="auto"/>
          <w:szCs w:val="24"/>
        </w:rPr>
        <w:t>钢纤维掺量的设计应考虑到喷射时钢纤维混凝土各组分回弹率不同的影响，以喷射到岩面上的钢纤维混凝土中钢纤维的实际含量作为依据。钢纤维喷射混凝土的钢纤维实际含量不宜大于78.5kg/m</w:t>
      </w:r>
      <w:r>
        <w:rPr>
          <w:color w:val="auto"/>
          <w:szCs w:val="24"/>
          <w:vertAlign w:val="superscript"/>
        </w:rPr>
        <w:t>3</w:t>
      </w:r>
      <w:r>
        <w:rPr>
          <w:color w:val="auto"/>
          <w:szCs w:val="24"/>
        </w:rPr>
        <w:t>（体积率为1.0%）。最小含量可依据钢纤维的长径比参照表5.3.</w:t>
      </w:r>
      <w:r>
        <w:rPr>
          <w:rFonts w:hint="eastAsia"/>
          <w:color w:val="auto"/>
          <w:szCs w:val="24"/>
        </w:rPr>
        <w:t>8</w:t>
      </w:r>
      <w:r>
        <w:rPr>
          <w:color w:val="auto"/>
          <w:szCs w:val="24"/>
        </w:rPr>
        <w:t>-1选用。</w:t>
      </w:r>
    </w:p>
    <w:p>
      <w:pPr>
        <w:ind w:firstLine="210" w:firstLineChars="100"/>
        <w:jc w:val="center"/>
        <w:rPr>
          <w:rFonts w:eastAsia="黑体"/>
          <w:bCs/>
          <w:color w:val="auto"/>
          <w:sz w:val="21"/>
          <w:szCs w:val="21"/>
        </w:rPr>
      </w:pPr>
      <w:r>
        <w:rPr>
          <w:rFonts w:eastAsia="黑体"/>
          <w:bCs/>
          <w:color w:val="auto"/>
          <w:sz w:val="21"/>
          <w:szCs w:val="21"/>
        </w:rPr>
        <w:t>表5.3.</w:t>
      </w:r>
      <w:r>
        <w:rPr>
          <w:rFonts w:hint="eastAsia" w:eastAsia="黑体"/>
          <w:bCs/>
          <w:color w:val="auto"/>
          <w:sz w:val="21"/>
          <w:szCs w:val="21"/>
        </w:rPr>
        <w:t>8</w:t>
      </w:r>
      <w:r>
        <w:rPr>
          <w:rFonts w:eastAsia="黑体"/>
          <w:bCs/>
          <w:color w:val="auto"/>
          <w:sz w:val="21"/>
          <w:szCs w:val="21"/>
        </w:rPr>
        <w:t>-1钢纤维混凝土中钢纤维的最小实际含量要求</w:t>
      </w:r>
    </w:p>
    <w:tbl>
      <w:tblPr>
        <w:tblStyle w:val="44"/>
        <w:tblW w:w="901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3"/>
        <w:gridCol w:w="749"/>
        <w:gridCol w:w="749"/>
        <w:gridCol w:w="749"/>
        <w:gridCol w:w="749"/>
        <w:gridCol w:w="750"/>
        <w:gridCol w:w="749"/>
        <w:gridCol w:w="749"/>
        <w:gridCol w:w="749"/>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273"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钢纤维的长径比</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40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45</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50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55</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60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65</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70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75</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273"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最小实际含量（kg/m3）</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65</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50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40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35</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30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25</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20</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20</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jc w:val="center"/>
        </w:trPr>
        <w:tc>
          <w:tcPr>
            <w:tcW w:w="2273" w:type="dxa"/>
            <w:vAlign w:val="center"/>
          </w:tcPr>
          <w:p>
            <w:pPr>
              <w:tabs>
                <w:tab w:val="left" w:pos="3430"/>
              </w:tabs>
              <w:adjustRightInd w:val="0"/>
              <w:snapToGrid w:val="0"/>
              <w:spacing w:line="240" w:lineRule="exact"/>
              <w:jc w:val="center"/>
              <w:rPr>
                <w:color w:val="auto"/>
                <w:kern w:val="0"/>
                <w:sz w:val="18"/>
                <w:szCs w:val="18"/>
              </w:rPr>
            </w:pPr>
            <w:r>
              <w:rPr>
                <w:color w:val="auto"/>
                <w:kern w:val="0"/>
                <w:sz w:val="18"/>
                <w:szCs w:val="18"/>
              </w:rPr>
              <w:t>最小实际体际率</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0.83</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0.64</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0.51</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0.45</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0.38</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0.32</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0.25</w:t>
            </w:r>
          </w:p>
        </w:tc>
        <w:tc>
          <w:tcPr>
            <w:tcW w:w="749" w:type="dxa"/>
            <w:vAlign w:val="center"/>
          </w:tcPr>
          <w:p>
            <w:pPr>
              <w:tabs>
                <w:tab w:val="left" w:pos="3430"/>
              </w:tabs>
              <w:spacing w:line="240" w:lineRule="exact"/>
              <w:jc w:val="center"/>
              <w:rPr>
                <w:color w:val="auto"/>
                <w:kern w:val="0"/>
                <w:sz w:val="18"/>
                <w:szCs w:val="18"/>
              </w:rPr>
            </w:pPr>
            <w:r>
              <w:rPr>
                <w:color w:val="auto"/>
                <w:kern w:val="0"/>
                <w:sz w:val="18"/>
                <w:szCs w:val="18"/>
              </w:rPr>
              <w:t>0.25</w:t>
            </w:r>
          </w:p>
        </w:tc>
        <w:tc>
          <w:tcPr>
            <w:tcW w:w="750" w:type="dxa"/>
            <w:vAlign w:val="center"/>
          </w:tcPr>
          <w:p>
            <w:pPr>
              <w:tabs>
                <w:tab w:val="left" w:pos="3430"/>
              </w:tabs>
              <w:spacing w:line="240" w:lineRule="exact"/>
              <w:jc w:val="center"/>
              <w:rPr>
                <w:color w:val="auto"/>
                <w:kern w:val="0"/>
                <w:sz w:val="18"/>
                <w:szCs w:val="18"/>
              </w:rPr>
            </w:pPr>
            <w:r>
              <w:rPr>
                <w:color w:val="auto"/>
                <w:kern w:val="0"/>
                <w:sz w:val="18"/>
                <w:szCs w:val="18"/>
              </w:rPr>
              <w:t>0.25</w:t>
            </w:r>
          </w:p>
        </w:tc>
      </w:tr>
    </w:tbl>
    <w:p>
      <w:pPr>
        <w:ind w:firstLine="482" w:firstLineChars="200"/>
        <w:rPr>
          <w:color w:val="auto"/>
          <w:szCs w:val="24"/>
        </w:rPr>
      </w:pPr>
      <w:r>
        <w:rPr>
          <w:rFonts w:eastAsia="黑体"/>
          <w:b/>
          <w:bCs/>
          <w:color w:val="auto"/>
        </w:rPr>
        <w:t>2</w:t>
      </w:r>
      <w:r>
        <w:rPr>
          <w:color w:val="auto"/>
          <w:szCs w:val="24"/>
        </w:rPr>
        <w:t xml:space="preserve">  钢纤维喷射混凝土的强度等级不宜低于CF30。</w:t>
      </w:r>
    </w:p>
    <w:p>
      <w:pPr>
        <w:ind w:firstLine="482" w:firstLineChars="200"/>
        <w:rPr>
          <w:color w:val="auto"/>
          <w:szCs w:val="24"/>
        </w:rPr>
      </w:pPr>
      <w:r>
        <w:rPr>
          <w:rFonts w:eastAsia="黑体"/>
          <w:b/>
          <w:bCs/>
          <w:color w:val="auto"/>
        </w:rPr>
        <w:t>3</w:t>
      </w:r>
      <w:r>
        <w:rPr>
          <w:color w:val="auto"/>
          <w:szCs w:val="24"/>
        </w:rPr>
        <w:t>钢纤维喷射混凝土的水胶比宜为0.40～0.45。</w:t>
      </w:r>
    </w:p>
    <w:p>
      <w:pPr>
        <w:ind w:firstLine="482" w:firstLineChars="200"/>
        <w:rPr>
          <w:color w:val="auto"/>
          <w:szCs w:val="24"/>
        </w:rPr>
      </w:pPr>
      <w:r>
        <w:rPr>
          <w:rFonts w:eastAsia="黑体"/>
          <w:b/>
          <w:bCs/>
          <w:color w:val="auto"/>
        </w:rPr>
        <w:t>4</w:t>
      </w:r>
      <w:r>
        <w:rPr>
          <w:color w:val="auto"/>
          <w:szCs w:val="24"/>
        </w:rPr>
        <w:t xml:space="preserve">  钢纤维喷射混凝土应采用连续级配骨料，粗骨料最大粒径不宜大于10mm，钢纤维喷射混凝土砂率不宜小于50%。</w:t>
      </w:r>
    </w:p>
    <w:p>
      <w:pPr>
        <w:ind w:firstLine="482" w:firstLineChars="200"/>
        <w:rPr>
          <w:color w:val="auto"/>
          <w:szCs w:val="24"/>
        </w:rPr>
      </w:pPr>
      <w:r>
        <w:rPr>
          <w:rFonts w:eastAsia="黑体"/>
          <w:b/>
          <w:bCs/>
          <w:color w:val="auto"/>
        </w:rPr>
        <w:t>5</w:t>
      </w:r>
      <w:r>
        <w:rPr>
          <w:color w:val="auto"/>
          <w:szCs w:val="24"/>
        </w:rPr>
        <w:t xml:space="preserve">  钢纤维喷射混凝土中宜加入矿渣粉或粉煤灰等活性掺合料。设计无要求时，矿渣粉的掺量可为水泥质量的5%～15%，粉煤灰的掺量可为水泥质量的15%～30%。具体掺量通过试验确定。</w:t>
      </w:r>
    </w:p>
    <w:p>
      <w:pPr>
        <w:pStyle w:val="48"/>
        <w:numPr>
          <w:ilvl w:val="0"/>
          <w:numId w:val="17"/>
        </w:numPr>
        <w:ind w:left="0" w:firstLine="0"/>
        <w:rPr>
          <w:color w:val="auto"/>
          <w:szCs w:val="24"/>
        </w:rPr>
      </w:pPr>
      <w:r>
        <w:rPr>
          <w:color w:val="auto"/>
          <w:szCs w:val="24"/>
        </w:rPr>
        <w:t>用于喷射混凝土的合成纤维应符合下列规定：</w:t>
      </w:r>
    </w:p>
    <w:p>
      <w:pPr>
        <w:ind w:firstLine="482" w:firstLineChars="200"/>
        <w:rPr>
          <w:color w:val="auto"/>
          <w:szCs w:val="24"/>
        </w:rPr>
      </w:pPr>
      <w:r>
        <w:rPr>
          <w:rFonts w:hint="eastAsia" w:eastAsia="黑体"/>
          <w:b/>
          <w:bCs/>
          <w:color w:val="auto"/>
        </w:rPr>
        <w:t>1</w:t>
      </w:r>
      <w:r>
        <w:rPr>
          <w:color w:val="auto"/>
          <w:szCs w:val="24"/>
        </w:rPr>
        <w:t>合成纤维掺量应通过试验确定。在无特殊要求情况下，常用掺量为0.8kg/m</w:t>
      </w:r>
      <w:r>
        <w:rPr>
          <w:color w:val="auto"/>
          <w:szCs w:val="24"/>
          <w:vertAlign w:val="superscript"/>
        </w:rPr>
        <w:t>3</w:t>
      </w:r>
      <w:r>
        <w:rPr>
          <w:color w:val="auto"/>
          <w:szCs w:val="24"/>
        </w:rPr>
        <w:t>～1.2kg/m</w:t>
      </w:r>
      <w:r>
        <w:rPr>
          <w:color w:val="auto"/>
          <w:szCs w:val="24"/>
          <w:vertAlign w:val="superscript"/>
        </w:rPr>
        <w:t>3</w:t>
      </w:r>
      <w:r>
        <w:rPr>
          <w:color w:val="auto"/>
          <w:szCs w:val="24"/>
        </w:rPr>
        <w:t>。</w:t>
      </w:r>
    </w:p>
    <w:p>
      <w:pPr>
        <w:ind w:firstLine="482" w:firstLineChars="200"/>
        <w:rPr>
          <w:color w:val="auto"/>
          <w:szCs w:val="24"/>
        </w:rPr>
      </w:pPr>
      <w:r>
        <w:rPr>
          <w:rFonts w:hint="eastAsia" w:eastAsia="黑体"/>
          <w:b/>
          <w:bCs/>
          <w:color w:val="auto"/>
        </w:rPr>
        <w:t>2</w:t>
      </w:r>
      <w:r>
        <w:rPr>
          <w:color w:val="auto"/>
          <w:szCs w:val="24"/>
        </w:rPr>
        <w:t>合成纤维喷射混凝土的水胶比宜为0.35～0.45。</w:t>
      </w:r>
    </w:p>
    <w:p>
      <w:pPr>
        <w:pStyle w:val="3"/>
        <w:keepNext/>
        <w:keepLines/>
        <w:spacing w:before="360" w:beforeLines="0" w:after="360" w:afterLines="0" w:line="400" w:lineRule="atLeast"/>
        <w:rPr>
          <w:rFonts w:eastAsia="黑体"/>
          <w:b w:val="0"/>
          <w:color w:val="auto"/>
          <w:sz w:val="24"/>
          <w:szCs w:val="24"/>
        </w:rPr>
      </w:pPr>
      <w:bookmarkStart w:id="25" w:name="_Toc1658239"/>
      <w:r>
        <w:rPr>
          <w:rFonts w:eastAsia="黑体"/>
          <w:b w:val="0"/>
          <w:color w:val="auto"/>
          <w:sz w:val="24"/>
          <w:szCs w:val="24"/>
        </w:rPr>
        <w:t>5.4  配合比试配、试喷、调整与确定</w:t>
      </w:r>
      <w:bookmarkEnd w:id="25"/>
    </w:p>
    <w:p>
      <w:pPr>
        <w:pStyle w:val="48"/>
        <w:numPr>
          <w:ilvl w:val="0"/>
          <w:numId w:val="18"/>
        </w:numPr>
        <w:ind w:left="0" w:firstLine="0"/>
        <w:rPr>
          <w:color w:val="auto"/>
          <w:szCs w:val="24"/>
        </w:rPr>
      </w:pPr>
      <w:r>
        <w:rPr>
          <w:color w:val="auto"/>
          <w:szCs w:val="24"/>
        </w:rPr>
        <w:t>在</w:t>
      </w:r>
      <w:r>
        <w:rPr>
          <w:rFonts w:hint="eastAsia"/>
          <w:b/>
          <w:bCs/>
          <w:color w:val="auto"/>
          <w:szCs w:val="24"/>
        </w:rPr>
        <w:t>5.3</w:t>
      </w:r>
      <w:r>
        <w:rPr>
          <w:color w:val="auto"/>
          <w:szCs w:val="24"/>
        </w:rPr>
        <w:t>计算配合比的基础上进行试配</w:t>
      </w:r>
      <w:r>
        <w:rPr>
          <w:rFonts w:hint="eastAsia"/>
          <w:color w:val="auto"/>
          <w:szCs w:val="24"/>
        </w:rPr>
        <w:t>，</w:t>
      </w:r>
      <w:r>
        <w:rPr>
          <w:color w:val="auto"/>
          <w:szCs w:val="24"/>
        </w:rPr>
        <w:t>按确定的单方混凝土原材料用量进行试拌，测试混凝土的坍落度、泌水率和含气量（需要时）等性能指标。试拌时每盘混凝土的最小搅拌量应在20L以上，且不少于搅拌机额定容量的1/3。拌合物性能不满足要求时，可适当调整胶凝材料用量、砂率和外加剂用量，直至调配出拌合物性能满足设计或本规程要求的混凝土配合比，即基准配合比。</w:t>
      </w:r>
    </w:p>
    <w:p>
      <w:pPr>
        <w:pStyle w:val="48"/>
        <w:numPr>
          <w:ilvl w:val="0"/>
          <w:numId w:val="18"/>
        </w:numPr>
        <w:ind w:left="0" w:firstLine="0"/>
        <w:rPr>
          <w:color w:val="auto"/>
          <w:szCs w:val="24"/>
        </w:rPr>
      </w:pPr>
      <w:r>
        <w:rPr>
          <w:color w:val="auto"/>
          <w:szCs w:val="24"/>
        </w:rPr>
        <w:t>根据试配结果对混凝土基准配合比的胶凝材料用量、矿物掺合料掺量、砂率和水胶比略作调整，重新按上述步骤计算并调整出3个满足设计要求或本规程要求的混凝土配合比。其中一个为基准配合比，另外两个配合比的水胶比宜较基准配合比分别增加和减少0.05，用水量应与基准配合比相同，砂率可分别增加和减少1%。按本规程5.2.2、5.2.3规定进行混凝土的力学性能、耐久性能和长期性能进行检验。</w:t>
      </w:r>
    </w:p>
    <w:p>
      <w:pPr>
        <w:pStyle w:val="48"/>
        <w:numPr>
          <w:ilvl w:val="0"/>
          <w:numId w:val="18"/>
        </w:numPr>
        <w:ind w:left="0" w:firstLine="0"/>
        <w:rPr>
          <w:color w:val="auto"/>
          <w:szCs w:val="24"/>
        </w:rPr>
      </w:pPr>
      <w:r>
        <w:rPr>
          <w:color w:val="auto"/>
          <w:szCs w:val="24"/>
        </w:rPr>
        <w:t>按上述的三个配合比进行试喷，拌合物性能、回弹率应符合施工工艺要求。不能满足喷射施工工艺要求时应进行调整，调整时应保持水胶比不变。</w:t>
      </w:r>
    </w:p>
    <w:p>
      <w:pPr>
        <w:pStyle w:val="48"/>
        <w:numPr>
          <w:ilvl w:val="0"/>
          <w:numId w:val="18"/>
        </w:numPr>
        <w:ind w:left="0" w:firstLine="0"/>
        <w:rPr>
          <w:color w:val="auto"/>
          <w:szCs w:val="24"/>
        </w:rPr>
      </w:pPr>
      <w:r>
        <w:rPr>
          <w:color w:val="auto"/>
          <w:szCs w:val="24"/>
        </w:rPr>
        <w:t>对拌合物性能、回弹率满足喷射施工要求的三个配合比进行喷大板取样和试件加工，进行力学性能、耐久性能（设计有要求时）试验。必要时，模拟施工现场进行试喷，采用钻芯取样和试件加工，进行力学性能、耐久性能（设计有要求时）试验。</w:t>
      </w:r>
    </w:p>
    <w:p>
      <w:pPr>
        <w:pStyle w:val="48"/>
        <w:numPr>
          <w:ilvl w:val="0"/>
          <w:numId w:val="18"/>
        </w:numPr>
        <w:ind w:left="0" w:firstLine="0"/>
        <w:rPr>
          <w:color w:val="auto"/>
          <w:szCs w:val="24"/>
        </w:rPr>
      </w:pPr>
      <w:r>
        <w:rPr>
          <w:color w:val="auto"/>
          <w:szCs w:val="24"/>
        </w:rPr>
        <w:t>按照工作性能优良、力学性能和耐久性满足要求、经济合理的原则，从上述试验结果满足要求的配合比中选择合适的配合比作为试验室理论配合比。</w:t>
      </w:r>
    </w:p>
    <w:p>
      <w:pPr>
        <w:pStyle w:val="48"/>
        <w:numPr>
          <w:ilvl w:val="0"/>
          <w:numId w:val="18"/>
        </w:numPr>
        <w:ind w:left="0" w:firstLine="0"/>
        <w:rPr>
          <w:color w:val="auto"/>
          <w:szCs w:val="24"/>
        </w:rPr>
      </w:pPr>
      <w:r>
        <w:rPr>
          <w:color w:val="auto"/>
          <w:szCs w:val="24"/>
        </w:rPr>
        <w:t>采用工程实际使用的原材料和搅拌方式搅拌混凝土，并测定混凝土的表观密度。根据实测混凝土拌合物的表观密度，求出校正系数并对试验室理论配合比进行校正，得到混凝土的实际理论配合比。</w:t>
      </w:r>
    </w:p>
    <w:p>
      <w:pPr>
        <w:pStyle w:val="48"/>
        <w:numPr>
          <w:ilvl w:val="0"/>
          <w:numId w:val="18"/>
        </w:numPr>
        <w:ind w:left="0" w:firstLine="0"/>
        <w:rPr>
          <w:color w:val="auto"/>
          <w:szCs w:val="24"/>
        </w:rPr>
      </w:pPr>
      <w:r>
        <w:rPr>
          <w:color w:val="auto"/>
          <w:szCs w:val="24"/>
        </w:rPr>
        <w:t>湿喷混凝土设计配合比确定后，应进行生产适应性验证。</w:t>
      </w:r>
    </w:p>
    <w:p>
      <w:pPr>
        <w:pStyle w:val="3"/>
        <w:keepNext/>
        <w:keepLines/>
        <w:spacing w:before="360" w:beforeLines="0" w:after="360" w:afterLines="0" w:line="400" w:lineRule="atLeast"/>
        <w:rPr>
          <w:rFonts w:eastAsia="黑体"/>
          <w:b w:val="0"/>
          <w:color w:val="auto"/>
          <w:sz w:val="24"/>
          <w:szCs w:val="24"/>
        </w:rPr>
      </w:pPr>
      <w:bookmarkStart w:id="26" w:name="_Toc529969554"/>
      <w:bookmarkStart w:id="27" w:name="_Toc1658240"/>
      <w:r>
        <w:rPr>
          <w:rFonts w:eastAsia="黑体"/>
          <w:b w:val="0"/>
          <w:color w:val="auto"/>
          <w:sz w:val="24"/>
          <w:szCs w:val="24"/>
        </w:rPr>
        <w:t>5.5  高强喷射混凝土</w:t>
      </w:r>
      <w:bookmarkEnd w:id="26"/>
      <w:bookmarkEnd w:id="27"/>
    </w:p>
    <w:p>
      <w:pPr>
        <w:pStyle w:val="48"/>
        <w:numPr>
          <w:ilvl w:val="0"/>
          <w:numId w:val="19"/>
        </w:numPr>
        <w:ind w:left="0" w:firstLine="0"/>
        <w:rPr>
          <w:color w:val="auto"/>
          <w:szCs w:val="24"/>
        </w:rPr>
      </w:pPr>
      <w:r>
        <w:rPr>
          <w:color w:val="auto"/>
          <w:szCs w:val="24"/>
        </w:rPr>
        <w:t>高强喷射混凝土所用原材料除符合本规程第4章有关规定外，还应符合下列规定：</w:t>
      </w:r>
    </w:p>
    <w:p>
      <w:pPr>
        <w:ind w:firstLine="482" w:firstLineChars="200"/>
        <w:rPr>
          <w:color w:val="auto"/>
          <w:szCs w:val="24"/>
        </w:rPr>
      </w:pPr>
      <w:r>
        <w:rPr>
          <w:rFonts w:eastAsia="黑体"/>
          <w:b/>
          <w:bCs/>
          <w:color w:val="auto"/>
        </w:rPr>
        <w:t>1</w:t>
      </w:r>
      <w:r>
        <w:rPr>
          <w:color w:val="auto"/>
          <w:szCs w:val="24"/>
        </w:rPr>
        <w:t xml:space="preserve">  水泥应选用42.5或52.5级硅酸盐水泥或普通硅酸盐水泥。</w:t>
      </w:r>
    </w:p>
    <w:p>
      <w:pPr>
        <w:ind w:firstLine="482" w:firstLineChars="200"/>
        <w:rPr>
          <w:color w:val="auto"/>
          <w:szCs w:val="24"/>
        </w:rPr>
      </w:pPr>
      <w:r>
        <w:rPr>
          <w:rFonts w:eastAsia="黑体"/>
          <w:b/>
          <w:bCs/>
          <w:color w:val="auto"/>
        </w:rPr>
        <w:t>2</w:t>
      </w:r>
      <w:r>
        <w:rPr>
          <w:color w:val="auto"/>
          <w:szCs w:val="24"/>
        </w:rPr>
        <w:t xml:space="preserve">  粗骨料宜采用5mm-10mm颗粒级配碎石，其最大粒径不宜大于16mm，含泥量不应大于0.5%，泥块含量不应大于0.2%。 </w:t>
      </w:r>
    </w:p>
    <w:p>
      <w:pPr>
        <w:ind w:firstLine="482" w:firstLineChars="200"/>
        <w:rPr>
          <w:color w:val="auto"/>
          <w:szCs w:val="24"/>
        </w:rPr>
      </w:pPr>
      <w:r>
        <w:rPr>
          <w:rFonts w:eastAsia="黑体"/>
          <w:b/>
          <w:bCs/>
          <w:color w:val="auto"/>
        </w:rPr>
        <w:t>3</w:t>
      </w:r>
      <w:r>
        <w:rPr>
          <w:color w:val="auto"/>
          <w:szCs w:val="24"/>
        </w:rPr>
        <w:t xml:space="preserve">  细骨料宜采用细度模数宜为2.6～3.0，含泥量不应大于2.0%，泥块含量不应大于0.5%的河砂；也可采用专门机组生产的机制砂，具有很好的粒形，细度模数不大于3.0。</w:t>
      </w:r>
    </w:p>
    <w:p>
      <w:pPr>
        <w:ind w:firstLine="482" w:firstLineChars="200"/>
        <w:rPr>
          <w:color w:val="auto"/>
          <w:szCs w:val="24"/>
        </w:rPr>
      </w:pPr>
      <w:r>
        <w:rPr>
          <w:rFonts w:eastAsia="黑体"/>
          <w:b/>
          <w:bCs/>
          <w:color w:val="auto"/>
        </w:rPr>
        <w:t>4</w:t>
      </w:r>
      <w:r>
        <w:rPr>
          <w:color w:val="auto"/>
          <w:szCs w:val="24"/>
        </w:rPr>
        <w:t xml:space="preserve">  减水剂宜采用减水率不低于25%的高性能减水剂。</w:t>
      </w:r>
    </w:p>
    <w:p>
      <w:pPr>
        <w:ind w:firstLine="482" w:firstLineChars="200"/>
        <w:rPr>
          <w:color w:val="auto"/>
          <w:szCs w:val="24"/>
        </w:rPr>
      </w:pPr>
      <w:r>
        <w:rPr>
          <w:rFonts w:eastAsia="黑体"/>
          <w:b/>
          <w:bCs/>
          <w:color w:val="auto"/>
        </w:rPr>
        <w:t xml:space="preserve">5 </w:t>
      </w:r>
      <w:r>
        <w:rPr>
          <w:color w:val="auto"/>
          <w:szCs w:val="24"/>
        </w:rPr>
        <w:t xml:space="preserve"> 高强喷射混凝土应采用液体无碱速凝剂。</w:t>
      </w:r>
    </w:p>
    <w:p>
      <w:pPr>
        <w:ind w:firstLine="482" w:firstLineChars="200"/>
        <w:rPr>
          <w:color w:val="auto"/>
          <w:szCs w:val="24"/>
        </w:rPr>
      </w:pPr>
      <w:r>
        <w:rPr>
          <w:rFonts w:eastAsia="黑体"/>
          <w:b/>
          <w:bCs/>
          <w:color w:val="auto"/>
        </w:rPr>
        <w:t>6</w:t>
      </w:r>
      <w:r>
        <w:rPr>
          <w:color w:val="auto"/>
          <w:szCs w:val="24"/>
        </w:rPr>
        <w:t xml:space="preserve">  掺合料宜掺用硅灰或掺用对提高喷射混凝土强度、耐久性有显著效果的复合掺合料。</w:t>
      </w:r>
    </w:p>
    <w:p>
      <w:pPr>
        <w:pStyle w:val="48"/>
        <w:numPr>
          <w:ilvl w:val="0"/>
          <w:numId w:val="19"/>
        </w:numPr>
        <w:ind w:left="0" w:firstLine="0"/>
        <w:rPr>
          <w:color w:val="auto"/>
          <w:szCs w:val="24"/>
        </w:rPr>
      </w:pPr>
      <w:r>
        <w:rPr>
          <w:color w:val="auto"/>
          <w:szCs w:val="24"/>
        </w:rPr>
        <w:t>高强喷射混凝土配合比应经试验确定，配合比设计应符合下列规定：</w:t>
      </w:r>
    </w:p>
    <w:p>
      <w:pPr>
        <w:ind w:firstLine="482" w:firstLineChars="200"/>
        <w:rPr>
          <w:color w:val="auto"/>
          <w:szCs w:val="24"/>
        </w:rPr>
      </w:pPr>
      <w:r>
        <w:rPr>
          <w:rFonts w:eastAsia="黑体"/>
          <w:b/>
          <w:bCs/>
          <w:color w:val="auto"/>
        </w:rPr>
        <w:t>1</w:t>
      </w:r>
      <w:r>
        <w:rPr>
          <w:color w:val="auto"/>
          <w:szCs w:val="24"/>
        </w:rPr>
        <w:t xml:space="preserve">  高强喷射混凝土的坍落度不宜大于180mm。</w:t>
      </w:r>
    </w:p>
    <w:p>
      <w:pPr>
        <w:ind w:firstLine="482" w:firstLineChars="200"/>
        <w:rPr>
          <w:color w:val="auto"/>
          <w:szCs w:val="24"/>
        </w:rPr>
      </w:pPr>
      <w:r>
        <w:rPr>
          <w:rFonts w:eastAsia="黑体"/>
          <w:b/>
          <w:bCs/>
          <w:color w:val="auto"/>
        </w:rPr>
        <w:t>2</w:t>
      </w:r>
      <w:r>
        <w:rPr>
          <w:color w:val="auto"/>
          <w:szCs w:val="24"/>
        </w:rPr>
        <w:t xml:space="preserve">  水胶比不应大于0.40，胶凝材料用量不应小于500kg/m</w:t>
      </w:r>
      <w:r>
        <w:rPr>
          <w:color w:val="auto"/>
          <w:szCs w:val="24"/>
          <w:vertAlign w:val="superscript"/>
        </w:rPr>
        <w:t>3</w:t>
      </w:r>
      <w:r>
        <w:rPr>
          <w:color w:val="auto"/>
          <w:szCs w:val="24"/>
        </w:rPr>
        <w:t>。</w:t>
      </w:r>
    </w:p>
    <w:p>
      <w:pPr>
        <w:ind w:firstLine="482" w:firstLineChars="200"/>
        <w:rPr>
          <w:b/>
          <w:color w:val="auto"/>
          <w:szCs w:val="24"/>
        </w:rPr>
      </w:pPr>
      <w:r>
        <w:rPr>
          <w:rFonts w:eastAsia="黑体"/>
          <w:b/>
          <w:bCs/>
          <w:color w:val="auto"/>
        </w:rPr>
        <w:t>3</w:t>
      </w:r>
      <w:r>
        <w:rPr>
          <w:color w:val="auto"/>
          <w:szCs w:val="24"/>
        </w:rPr>
        <w:t xml:space="preserve">  外加剂和矿物掺合料的品种、掺量应通过试验确定，硅灰掺量不宜大于8%。</w:t>
      </w:r>
    </w:p>
    <w:p>
      <w:pPr>
        <w:pStyle w:val="48"/>
        <w:numPr>
          <w:ilvl w:val="0"/>
          <w:numId w:val="19"/>
        </w:numPr>
        <w:ind w:left="0" w:firstLine="0"/>
        <w:rPr>
          <w:b/>
          <w:color w:val="auto"/>
          <w:szCs w:val="24"/>
        </w:rPr>
      </w:pPr>
      <w:r>
        <w:rPr>
          <w:color w:val="auto"/>
          <w:szCs w:val="24"/>
        </w:rPr>
        <w:t>高强喷射混凝土应采用三个不同的配合比进行试喷，其中一个为基准配合比，另外两个配合比的水胶比宜较基准配合比分别增加和减少0.02。</w:t>
      </w:r>
    </w:p>
    <w:p>
      <w:pPr>
        <w:widowControl/>
        <w:spacing w:line="240" w:lineRule="auto"/>
        <w:jc w:val="left"/>
        <w:rPr>
          <w:b/>
          <w:color w:val="auto"/>
        </w:rPr>
      </w:pPr>
    </w:p>
    <w:p>
      <w:pPr>
        <w:pStyle w:val="2"/>
        <w:pageBreakBefore/>
        <w:spacing w:before="600" w:beforeLines="0" w:after="600" w:afterLines="0" w:line="400" w:lineRule="exact"/>
        <w:rPr>
          <w:rFonts w:eastAsia="黑体"/>
          <w:b w:val="0"/>
          <w:color w:val="auto"/>
          <w:sz w:val="32"/>
        </w:rPr>
      </w:pPr>
      <w:bookmarkStart w:id="28" w:name="_Toc1658241"/>
      <w:bookmarkStart w:id="29" w:name="_Toc534722396"/>
      <w:bookmarkStart w:id="30" w:name="_Toc529969555"/>
      <w:r>
        <w:rPr>
          <w:rFonts w:eastAsia="黑体"/>
          <w:b w:val="0"/>
          <w:color w:val="auto"/>
          <w:sz w:val="32"/>
        </w:rPr>
        <w:t>6  湿喷混凝土的制备与运输</w:t>
      </w:r>
      <w:bookmarkEnd w:id="28"/>
      <w:bookmarkEnd w:id="29"/>
      <w:bookmarkEnd w:id="30"/>
    </w:p>
    <w:p>
      <w:pPr>
        <w:pStyle w:val="3"/>
        <w:keepNext/>
        <w:keepLines/>
        <w:spacing w:before="360" w:beforeLines="0" w:after="360" w:afterLines="0" w:line="400" w:lineRule="atLeast"/>
        <w:rPr>
          <w:rFonts w:eastAsia="黑体"/>
          <w:b w:val="0"/>
          <w:color w:val="auto"/>
          <w:sz w:val="24"/>
          <w:szCs w:val="24"/>
        </w:rPr>
      </w:pPr>
      <w:bookmarkStart w:id="31" w:name="_Toc1658242"/>
      <w:bookmarkStart w:id="32" w:name="_Toc529969556"/>
      <w:bookmarkStart w:id="33" w:name="_Toc534722397"/>
      <w:r>
        <w:rPr>
          <w:rFonts w:eastAsia="黑体"/>
          <w:b w:val="0"/>
          <w:color w:val="auto"/>
          <w:sz w:val="24"/>
          <w:szCs w:val="24"/>
        </w:rPr>
        <w:t>6.1  一般规定</w:t>
      </w:r>
      <w:bookmarkEnd w:id="31"/>
      <w:bookmarkEnd w:id="32"/>
      <w:bookmarkEnd w:id="33"/>
    </w:p>
    <w:p>
      <w:pPr>
        <w:pStyle w:val="48"/>
        <w:numPr>
          <w:ilvl w:val="0"/>
          <w:numId w:val="20"/>
        </w:numPr>
        <w:ind w:left="0" w:firstLine="0"/>
        <w:rPr>
          <w:color w:val="auto"/>
          <w:szCs w:val="24"/>
        </w:rPr>
      </w:pPr>
      <w:r>
        <w:rPr>
          <w:color w:val="auto"/>
          <w:szCs w:val="24"/>
        </w:rPr>
        <w:t>原材料计量宜采用电子计量设备。计量设备的精度应符合现行国家标准《混凝土搅拌站（楼）》GB／T10171的有关规定。</w:t>
      </w:r>
    </w:p>
    <w:p>
      <w:pPr>
        <w:pStyle w:val="48"/>
        <w:numPr>
          <w:ilvl w:val="0"/>
          <w:numId w:val="20"/>
        </w:numPr>
        <w:ind w:left="0" w:firstLine="0"/>
        <w:rPr>
          <w:color w:val="auto"/>
          <w:szCs w:val="24"/>
        </w:rPr>
      </w:pPr>
      <w:r>
        <w:rPr>
          <w:color w:val="auto"/>
          <w:szCs w:val="24"/>
        </w:rPr>
        <w:t>湿喷混凝土在运输过程中严禁加水。</w:t>
      </w:r>
    </w:p>
    <w:p>
      <w:pPr>
        <w:pStyle w:val="48"/>
        <w:numPr>
          <w:ilvl w:val="0"/>
          <w:numId w:val="20"/>
        </w:numPr>
        <w:ind w:left="0" w:firstLine="0"/>
        <w:rPr>
          <w:color w:val="auto"/>
          <w:szCs w:val="24"/>
        </w:rPr>
      </w:pPr>
      <w:r>
        <w:rPr>
          <w:color w:val="auto"/>
          <w:szCs w:val="24"/>
        </w:rPr>
        <w:t>混凝土拌和站应进行信息化管理，并制定质量管理制度、生产控制工艺和环境保护方案，主要操作人员应经专项培训合格，搅拌、检测设备和计量器具设置应符合要求，拌和站应经建设单位组织验收合格方可使用。</w:t>
      </w:r>
    </w:p>
    <w:p>
      <w:pPr>
        <w:pStyle w:val="3"/>
        <w:keepNext/>
        <w:keepLines/>
        <w:spacing w:before="360" w:beforeLines="0" w:after="360" w:afterLines="0" w:line="400" w:lineRule="atLeast"/>
        <w:rPr>
          <w:rFonts w:eastAsia="黑体"/>
          <w:b w:val="0"/>
          <w:color w:val="auto"/>
          <w:sz w:val="24"/>
          <w:szCs w:val="24"/>
        </w:rPr>
      </w:pPr>
      <w:bookmarkStart w:id="34" w:name="_Toc534722398"/>
      <w:bookmarkStart w:id="35" w:name="_Toc529969557"/>
      <w:bookmarkStart w:id="36" w:name="_Toc1658243"/>
      <w:r>
        <w:rPr>
          <w:rFonts w:eastAsia="黑体"/>
          <w:b w:val="0"/>
          <w:color w:val="auto"/>
          <w:sz w:val="24"/>
          <w:szCs w:val="24"/>
        </w:rPr>
        <w:t>6.2  湿喷混凝土制备</w:t>
      </w:r>
      <w:bookmarkEnd w:id="34"/>
      <w:bookmarkEnd w:id="35"/>
      <w:bookmarkEnd w:id="36"/>
    </w:p>
    <w:p>
      <w:pPr>
        <w:pStyle w:val="48"/>
        <w:numPr>
          <w:ilvl w:val="0"/>
          <w:numId w:val="21"/>
        </w:numPr>
        <w:ind w:left="0" w:firstLine="0"/>
        <w:rPr>
          <w:color w:val="auto"/>
          <w:szCs w:val="24"/>
        </w:rPr>
      </w:pPr>
      <w:r>
        <w:rPr>
          <w:color w:val="auto"/>
          <w:szCs w:val="24"/>
        </w:rPr>
        <w:t>湿喷混凝土宜采用全自动计量配料拌和站拌制，拌和站的生产能力应与湿喷混凝土单位时间最大需求量相匹配，单台搅拌主机公称容量不宜小于1m</w:t>
      </w:r>
      <w:r>
        <w:rPr>
          <w:color w:val="auto"/>
          <w:szCs w:val="24"/>
          <w:vertAlign w:val="superscript"/>
        </w:rPr>
        <w:t>3</w:t>
      </w:r>
      <w:r>
        <w:rPr>
          <w:color w:val="auto"/>
          <w:szCs w:val="24"/>
        </w:rPr>
        <w:t>。</w:t>
      </w:r>
    </w:p>
    <w:p>
      <w:pPr>
        <w:pStyle w:val="48"/>
        <w:numPr>
          <w:ilvl w:val="0"/>
          <w:numId w:val="21"/>
        </w:numPr>
        <w:ind w:left="0" w:firstLine="0"/>
        <w:rPr>
          <w:color w:val="auto"/>
          <w:szCs w:val="24"/>
        </w:rPr>
      </w:pPr>
      <w:r>
        <w:rPr>
          <w:color w:val="auto"/>
          <w:szCs w:val="24"/>
        </w:rPr>
        <w:t>湿喷混凝土搅拌时间应符合下列规定：</w:t>
      </w:r>
    </w:p>
    <w:p>
      <w:pPr>
        <w:ind w:firstLine="482" w:firstLineChars="200"/>
        <w:rPr>
          <w:color w:val="auto"/>
          <w:szCs w:val="24"/>
        </w:rPr>
      </w:pPr>
      <w:r>
        <w:rPr>
          <w:rFonts w:eastAsia="黑体"/>
          <w:b/>
          <w:bCs/>
          <w:color w:val="auto"/>
        </w:rPr>
        <w:t>1</w:t>
      </w:r>
      <w:r>
        <w:rPr>
          <w:color w:val="auto"/>
          <w:szCs w:val="24"/>
        </w:rPr>
        <w:t xml:space="preserve">  湿喷混凝土搅拌时间不宜小于90s。</w:t>
      </w:r>
    </w:p>
    <w:p>
      <w:pPr>
        <w:ind w:firstLine="482" w:firstLineChars="200"/>
        <w:rPr>
          <w:color w:val="auto"/>
          <w:szCs w:val="24"/>
        </w:rPr>
      </w:pPr>
      <w:r>
        <w:rPr>
          <w:rFonts w:eastAsia="黑体"/>
          <w:b/>
          <w:bCs/>
          <w:color w:val="auto"/>
        </w:rPr>
        <w:t>2</w:t>
      </w:r>
      <w:r>
        <w:rPr>
          <w:color w:val="auto"/>
          <w:szCs w:val="24"/>
        </w:rPr>
        <w:t xml:space="preserve">  钢纤维喷射混凝土的搅拌时间应通过现场匀质性试验确定，并应较普通混凝土规定的搅拌时间延长1min～2min。采用先干拌后加水的搅拌方式时，干拌时间不宜少于1.5min，总搅拌时间不宜小于3min。</w:t>
      </w:r>
    </w:p>
    <w:p>
      <w:pPr>
        <w:ind w:firstLine="482" w:firstLineChars="200"/>
        <w:rPr>
          <w:color w:val="auto"/>
          <w:szCs w:val="24"/>
        </w:rPr>
      </w:pPr>
      <w:r>
        <w:rPr>
          <w:rFonts w:eastAsia="黑体"/>
          <w:b/>
          <w:bCs/>
          <w:color w:val="auto"/>
        </w:rPr>
        <w:t xml:space="preserve">3 </w:t>
      </w:r>
      <w:r>
        <w:rPr>
          <w:color w:val="auto"/>
          <w:szCs w:val="24"/>
        </w:rPr>
        <w:t xml:space="preserve"> 合成纤维喷射混凝土搅拌时间宜为4min～5min，搅拌完成后随机取样，如纤维已均匀分散成单丝，则混凝土可投入使用；若仍有成束纤维则至少延长搅拌时间30s才可使用。</w:t>
      </w:r>
    </w:p>
    <w:p>
      <w:pPr>
        <w:pStyle w:val="48"/>
        <w:numPr>
          <w:ilvl w:val="0"/>
          <w:numId w:val="21"/>
        </w:numPr>
        <w:ind w:left="0" w:firstLine="0"/>
        <w:rPr>
          <w:color w:val="auto"/>
          <w:szCs w:val="24"/>
        </w:rPr>
      </w:pPr>
      <w:r>
        <w:rPr>
          <w:color w:val="auto"/>
          <w:szCs w:val="24"/>
        </w:rPr>
        <w:t>搅拌混凝土前，应测定粗、细骨料的含水率，并根据测试结果及时调整施工配合比。每工班至少抽测一次。</w:t>
      </w:r>
    </w:p>
    <w:p>
      <w:pPr>
        <w:pStyle w:val="48"/>
        <w:numPr>
          <w:ilvl w:val="0"/>
          <w:numId w:val="21"/>
        </w:numPr>
        <w:ind w:left="0" w:firstLine="0"/>
        <w:rPr>
          <w:color w:val="auto"/>
          <w:szCs w:val="24"/>
        </w:rPr>
      </w:pPr>
      <w:r>
        <w:rPr>
          <w:color w:val="auto"/>
          <w:szCs w:val="24"/>
        </w:rPr>
        <w:t>按照批准的施工配合比准确称量混凝土原材料，每一工班正式称量前，应对计量设备进行检查。水泥、矿物掺合料、外加剂和拌和用水每车（罐）称量允许偏差不应大于1%，粗、细骨料每车（罐）称量允许偏差不应大于2%。</w:t>
      </w:r>
    </w:p>
    <w:p>
      <w:pPr>
        <w:pStyle w:val="48"/>
        <w:numPr>
          <w:ilvl w:val="0"/>
          <w:numId w:val="21"/>
        </w:numPr>
        <w:ind w:left="0" w:firstLine="0"/>
        <w:rPr>
          <w:color w:val="auto"/>
          <w:szCs w:val="24"/>
        </w:rPr>
      </w:pPr>
      <w:r>
        <w:rPr>
          <w:color w:val="auto"/>
          <w:szCs w:val="24"/>
        </w:rPr>
        <w:t>混凝土搅拌投料顺序应符合下列规定：</w:t>
      </w:r>
    </w:p>
    <w:p>
      <w:pPr>
        <w:ind w:firstLine="482" w:firstLineChars="200"/>
        <w:rPr>
          <w:color w:val="auto"/>
          <w:szCs w:val="24"/>
        </w:rPr>
      </w:pPr>
      <w:r>
        <w:rPr>
          <w:rFonts w:eastAsia="黑体"/>
          <w:b/>
          <w:bCs/>
          <w:color w:val="auto"/>
        </w:rPr>
        <w:t xml:space="preserve">1 </w:t>
      </w:r>
      <w:r>
        <w:rPr>
          <w:color w:val="auto"/>
          <w:szCs w:val="24"/>
        </w:rPr>
        <w:t xml:space="preserve"> 搅拌时，宜先向搅拌机投入骨料、水泥和矿物掺合料，搅拌均匀后，再加入水和液体外加剂，直至搅拌均匀为止。</w:t>
      </w:r>
    </w:p>
    <w:p>
      <w:pPr>
        <w:ind w:firstLine="482" w:firstLineChars="200"/>
        <w:rPr>
          <w:color w:val="auto"/>
          <w:szCs w:val="24"/>
        </w:rPr>
      </w:pPr>
      <w:r>
        <w:rPr>
          <w:rFonts w:eastAsia="黑体"/>
          <w:b/>
          <w:bCs/>
          <w:color w:val="auto"/>
        </w:rPr>
        <w:t>2</w:t>
      </w:r>
      <w:r>
        <w:rPr>
          <w:color w:val="auto"/>
          <w:szCs w:val="24"/>
        </w:rPr>
        <w:t xml:space="preserve">  钢纤维喷射混凝土搅拌时宜优先采用将粗细骨料、水泥、纤维先干拌后加水湿拌的方法，且干拌时间不得少于1.5min；也可采用先投放粗细骨料、水泥和水，在拌和过程中分散加入纤维的方法，纤维混凝土投料顺序、搅拌方法和搅拌时间应通过现场匀质性试验确定。</w:t>
      </w:r>
    </w:p>
    <w:p>
      <w:pPr>
        <w:ind w:firstLine="482" w:firstLineChars="200"/>
        <w:rPr>
          <w:color w:val="auto"/>
          <w:szCs w:val="24"/>
        </w:rPr>
      </w:pPr>
      <w:r>
        <w:rPr>
          <w:rFonts w:eastAsia="黑体"/>
          <w:b/>
          <w:bCs/>
          <w:color w:val="auto"/>
        </w:rPr>
        <w:t>3</w:t>
      </w:r>
      <w:r>
        <w:rPr>
          <w:color w:val="auto"/>
          <w:szCs w:val="24"/>
        </w:rPr>
        <w:t xml:space="preserve">  喷射纤维混凝土的搅拌工艺应确保拌和物中纤维分布均匀，必要时采用纤维播料机使其均匀地分散到混合料中，不得成团。</w:t>
      </w:r>
    </w:p>
    <w:p>
      <w:pPr>
        <w:pStyle w:val="48"/>
        <w:numPr>
          <w:ilvl w:val="0"/>
          <w:numId w:val="21"/>
        </w:numPr>
        <w:ind w:left="0" w:firstLine="0"/>
        <w:rPr>
          <w:color w:val="auto"/>
          <w:szCs w:val="24"/>
        </w:rPr>
      </w:pPr>
      <w:r>
        <w:rPr>
          <w:color w:val="auto"/>
          <w:szCs w:val="24"/>
        </w:rPr>
        <w:t>原材料存储应符合下列规定：</w:t>
      </w:r>
    </w:p>
    <w:p>
      <w:pPr>
        <w:ind w:firstLine="482" w:firstLineChars="200"/>
        <w:rPr>
          <w:color w:val="auto"/>
          <w:szCs w:val="24"/>
        </w:rPr>
      </w:pPr>
      <w:r>
        <w:rPr>
          <w:rFonts w:eastAsia="黑体"/>
          <w:b/>
          <w:bCs/>
          <w:color w:val="auto"/>
        </w:rPr>
        <w:t>1</w:t>
      </w:r>
      <w:r>
        <w:rPr>
          <w:color w:val="auto"/>
          <w:szCs w:val="24"/>
        </w:rPr>
        <w:t xml:space="preserve">  水泥、矿物掺合料按不同厂家、品种强度等级分批存储。在储运过程中应采取防潮措施，避免受潮。储存过程中，应采取降低水泥的温度或防止水泥升温的措施。</w:t>
      </w:r>
    </w:p>
    <w:p>
      <w:pPr>
        <w:ind w:firstLine="482" w:firstLineChars="200"/>
        <w:rPr>
          <w:color w:val="auto"/>
          <w:szCs w:val="24"/>
        </w:rPr>
      </w:pPr>
      <w:r>
        <w:rPr>
          <w:rFonts w:eastAsia="黑体"/>
          <w:b/>
          <w:bCs/>
          <w:color w:val="auto"/>
        </w:rPr>
        <w:t>2</w:t>
      </w:r>
      <w:r>
        <w:rPr>
          <w:color w:val="auto"/>
          <w:szCs w:val="24"/>
        </w:rPr>
        <w:t xml:space="preserve">  粗、细骨料储料仓应具有遮雨、防晒、防水和防污染的功能。并按待检区和合格区分别存放，不同品种和规格的粗、细骨料，用隔离墙分离。</w:t>
      </w:r>
    </w:p>
    <w:p>
      <w:pPr>
        <w:ind w:firstLine="482" w:firstLineChars="200"/>
        <w:rPr>
          <w:color w:val="auto"/>
          <w:szCs w:val="24"/>
        </w:rPr>
      </w:pPr>
      <w:r>
        <w:rPr>
          <w:rFonts w:eastAsia="黑体"/>
          <w:b/>
          <w:bCs/>
          <w:color w:val="auto"/>
        </w:rPr>
        <w:t xml:space="preserve">3 </w:t>
      </w:r>
      <w:r>
        <w:rPr>
          <w:color w:val="auto"/>
          <w:szCs w:val="24"/>
        </w:rPr>
        <w:t xml:space="preserve"> 外加剂应采用仓库储存，冬期应采取保温措施以防止外加剂受冻或出现低温结晶现象。外加剂应按不同的生产厂家、品种单独存放，不得污染。粉状外加剂应防止受潮结块，液体外加剂应存储在密封容器中，使用前应搅拌均匀。</w:t>
      </w:r>
    </w:p>
    <w:p>
      <w:pPr>
        <w:pStyle w:val="3"/>
        <w:keepNext/>
        <w:keepLines/>
        <w:spacing w:before="360" w:beforeLines="0" w:after="360" w:afterLines="0" w:line="400" w:lineRule="atLeast"/>
        <w:rPr>
          <w:rFonts w:eastAsia="黑体"/>
          <w:b w:val="0"/>
          <w:color w:val="auto"/>
          <w:sz w:val="24"/>
          <w:szCs w:val="24"/>
        </w:rPr>
      </w:pPr>
      <w:bookmarkStart w:id="37" w:name="_Toc1658244"/>
      <w:bookmarkStart w:id="38" w:name="_Toc534722399"/>
      <w:bookmarkStart w:id="39" w:name="_Toc529969558"/>
      <w:r>
        <w:rPr>
          <w:rFonts w:eastAsia="黑体"/>
          <w:b w:val="0"/>
          <w:color w:val="auto"/>
          <w:sz w:val="24"/>
          <w:szCs w:val="24"/>
        </w:rPr>
        <w:t>6.3  湿喷混凝土运输</w:t>
      </w:r>
      <w:bookmarkEnd w:id="37"/>
      <w:bookmarkEnd w:id="38"/>
      <w:bookmarkEnd w:id="39"/>
    </w:p>
    <w:p>
      <w:pPr>
        <w:pStyle w:val="48"/>
        <w:numPr>
          <w:ilvl w:val="0"/>
          <w:numId w:val="22"/>
        </w:numPr>
        <w:ind w:left="0" w:firstLine="0"/>
        <w:rPr>
          <w:color w:val="auto"/>
          <w:szCs w:val="24"/>
        </w:rPr>
      </w:pPr>
      <w:r>
        <w:rPr>
          <w:color w:val="auto"/>
          <w:szCs w:val="24"/>
        </w:rPr>
        <w:t>湿喷混凝土运输宜采用内壁平整光滑、不吸水、不渗漏且具有搅拌功能的混凝土运输车。</w:t>
      </w:r>
    </w:p>
    <w:p>
      <w:pPr>
        <w:pStyle w:val="48"/>
        <w:numPr>
          <w:ilvl w:val="0"/>
          <w:numId w:val="22"/>
        </w:numPr>
        <w:ind w:left="0" w:firstLine="0"/>
        <w:rPr>
          <w:b/>
          <w:color w:val="auto"/>
          <w:szCs w:val="24"/>
        </w:rPr>
      </w:pPr>
      <w:r>
        <w:rPr>
          <w:color w:val="auto"/>
          <w:szCs w:val="24"/>
        </w:rPr>
        <w:t>采用混凝土搅拌运输车运送混凝土时，运输过程中宜以2r/min～4r/min的转速转动。当搅拌运输车到达浇筑现场时，应高速旋转20s～30s后再将混凝土拌和物喂入湿喷机受料斗中，运输车每天使用后应清理干净。</w:t>
      </w:r>
    </w:p>
    <w:p>
      <w:pPr>
        <w:pStyle w:val="48"/>
        <w:numPr>
          <w:ilvl w:val="0"/>
          <w:numId w:val="22"/>
        </w:numPr>
        <w:ind w:left="0" w:firstLine="0"/>
        <w:rPr>
          <w:b/>
          <w:color w:val="auto"/>
          <w:szCs w:val="24"/>
        </w:rPr>
      </w:pPr>
      <w:r>
        <w:rPr>
          <w:color w:val="auto"/>
          <w:szCs w:val="24"/>
        </w:rPr>
        <w:t>湿喷混凝土宜随拌随用，停放时间不大于30min，湿喷混凝土拌和物拌制后至喷射的最长时限不大于120min。</w:t>
      </w:r>
    </w:p>
    <w:p>
      <w:pPr>
        <w:pStyle w:val="48"/>
        <w:numPr>
          <w:ilvl w:val="0"/>
          <w:numId w:val="22"/>
        </w:numPr>
        <w:ind w:left="0" w:firstLine="0"/>
        <w:rPr>
          <w:b/>
          <w:color w:val="auto"/>
          <w:szCs w:val="24"/>
        </w:rPr>
      </w:pPr>
      <w:r>
        <w:rPr>
          <w:color w:val="auto"/>
          <w:szCs w:val="24"/>
        </w:rPr>
        <w:t>为了避免日晒、雨淋或寒冷气候对混凝土质量的影响，防止局部混凝土温度升高（夏季）或受冻（冬季），应对运输容器采取遮盖或保温隔热措施。</w:t>
      </w:r>
    </w:p>
    <w:p>
      <w:pPr>
        <w:pStyle w:val="48"/>
        <w:numPr>
          <w:ilvl w:val="0"/>
          <w:numId w:val="22"/>
        </w:numPr>
        <w:ind w:left="0" w:firstLine="0"/>
        <w:rPr>
          <w:color w:val="auto"/>
          <w:szCs w:val="24"/>
        </w:rPr>
      </w:pPr>
      <w:r>
        <w:rPr>
          <w:color w:val="auto"/>
          <w:szCs w:val="24"/>
        </w:rPr>
        <w:t>在运输过程中，应控制混凝土不离析、不分层和组成成份不发生变化，并采取措施确保混凝土拌和物性能满足施工要求。</w:t>
      </w:r>
    </w:p>
    <w:p>
      <w:pPr>
        <w:pStyle w:val="2"/>
        <w:pageBreakBefore/>
        <w:spacing w:before="600" w:beforeLines="0" w:after="600" w:afterLines="0" w:line="400" w:lineRule="exact"/>
        <w:rPr>
          <w:rFonts w:eastAsia="黑体"/>
          <w:b w:val="0"/>
          <w:color w:val="auto"/>
          <w:sz w:val="32"/>
        </w:rPr>
      </w:pPr>
      <w:bookmarkStart w:id="40" w:name="_Toc534722400"/>
      <w:bookmarkStart w:id="41" w:name="_Toc1658245"/>
      <w:r>
        <w:rPr>
          <w:rFonts w:eastAsia="黑体"/>
          <w:b w:val="0"/>
          <w:color w:val="auto"/>
          <w:sz w:val="32"/>
        </w:rPr>
        <w:t>7  喷射作业与养护</w:t>
      </w:r>
      <w:bookmarkEnd w:id="40"/>
      <w:bookmarkEnd w:id="41"/>
    </w:p>
    <w:p>
      <w:pPr>
        <w:pStyle w:val="3"/>
        <w:keepNext/>
        <w:keepLines/>
        <w:spacing w:before="360" w:beforeLines="0" w:after="360" w:afterLines="0" w:line="400" w:lineRule="atLeast"/>
        <w:rPr>
          <w:rFonts w:eastAsia="黑体"/>
          <w:b w:val="0"/>
          <w:color w:val="auto"/>
          <w:sz w:val="24"/>
          <w:szCs w:val="24"/>
        </w:rPr>
      </w:pPr>
      <w:bookmarkStart w:id="42" w:name="_Toc534722401"/>
      <w:bookmarkStart w:id="43" w:name="_Toc324921184"/>
      <w:bookmarkStart w:id="44" w:name="_Toc438370749"/>
      <w:bookmarkStart w:id="45" w:name="_Toc1658246"/>
      <w:r>
        <w:rPr>
          <w:rFonts w:eastAsia="黑体"/>
          <w:b w:val="0"/>
          <w:color w:val="auto"/>
          <w:sz w:val="24"/>
          <w:szCs w:val="24"/>
        </w:rPr>
        <w:t>7.1  一般规定</w:t>
      </w:r>
      <w:bookmarkEnd w:id="42"/>
      <w:bookmarkEnd w:id="43"/>
      <w:bookmarkEnd w:id="44"/>
      <w:bookmarkEnd w:id="45"/>
    </w:p>
    <w:p>
      <w:pPr>
        <w:pStyle w:val="48"/>
        <w:numPr>
          <w:ilvl w:val="0"/>
          <w:numId w:val="23"/>
        </w:numPr>
        <w:ind w:left="0" w:firstLine="0"/>
        <w:rPr>
          <w:color w:val="auto"/>
        </w:rPr>
      </w:pPr>
      <w:r>
        <w:rPr>
          <w:color w:val="auto"/>
        </w:rPr>
        <w:t>铁路隧道湿喷混凝土施工应按设计要求、隧道</w:t>
      </w:r>
      <w:r>
        <w:rPr>
          <w:rFonts w:hint="eastAsia"/>
          <w:color w:val="auto"/>
        </w:rPr>
        <w:t>断面</w:t>
      </w:r>
      <w:r>
        <w:rPr>
          <w:color w:val="auto"/>
        </w:rPr>
        <w:t>、施工工法等因素，确定施工配套机械，编制作业指导书，进行工艺性试验。施工环境变化时，应再次进行工艺性试验。</w:t>
      </w:r>
    </w:p>
    <w:p>
      <w:pPr>
        <w:pStyle w:val="48"/>
        <w:numPr>
          <w:ilvl w:val="0"/>
          <w:numId w:val="23"/>
        </w:numPr>
        <w:ind w:left="0" w:firstLine="0"/>
        <w:rPr>
          <w:color w:val="auto"/>
        </w:rPr>
      </w:pPr>
      <w:r>
        <w:rPr>
          <w:color w:val="auto"/>
        </w:rPr>
        <w:t>湿喷混凝土施工宜由专业化人员进行操作。</w:t>
      </w:r>
    </w:p>
    <w:p>
      <w:pPr>
        <w:pStyle w:val="48"/>
        <w:numPr>
          <w:ilvl w:val="0"/>
          <w:numId w:val="23"/>
        </w:numPr>
        <w:ind w:left="0" w:firstLine="0"/>
        <w:rPr>
          <w:color w:val="auto"/>
        </w:rPr>
      </w:pPr>
      <w:r>
        <w:rPr>
          <w:color w:val="auto"/>
        </w:rPr>
        <w:t>湿喷混凝土应在受喷面质量验收符合要求后施工。</w:t>
      </w:r>
    </w:p>
    <w:p>
      <w:pPr>
        <w:pStyle w:val="48"/>
        <w:numPr>
          <w:ilvl w:val="0"/>
          <w:numId w:val="23"/>
        </w:numPr>
        <w:ind w:left="0" w:firstLine="0"/>
        <w:rPr>
          <w:b/>
          <w:color w:val="auto"/>
        </w:rPr>
      </w:pPr>
      <w:r>
        <w:rPr>
          <w:color w:val="auto"/>
        </w:rPr>
        <w:t>瓦斯隧道湿喷混凝土作业机械配置应符合现行《铁路瓦斯隧道技术规范》TB10120的有关规定。</w:t>
      </w:r>
    </w:p>
    <w:p>
      <w:pPr>
        <w:pStyle w:val="3"/>
        <w:keepNext/>
        <w:keepLines/>
        <w:spacing w:before="360" w:beforeLines="0" w:after="360" w:afterLines="0" w:line="400" w:lineRule="atLeast"/>
        <w:rPr>
          <w:rFonts w:eastAsia="黑体"/>
          <w:b w:val="0"/>
          <w:color w:val="auto"/>
          <w:sz w:val="24"/>
          <w:szCs w:val="24"/>
        </w:rPr>
      </w:pPr>
      <w:bookmarkStart w:id="46" w:name="_Toc534722402"/>
      <w:bookmarkStart w:id="47" w:name="_Toc1658247"/>
      <w:r>
        <w:rPr>
          <w:rFonts w:eastAsia="黑体"/>
          <w:b w:val="0"/>
          <w:color w:val="auto"/>
          <w:sz w:val="24"/>
          <w:szCs w:val="24"/>
        </w:rPr>
        <w:t xml:space="preserve">7.2  </w:t>
      </w:r>
      <w:bookmarkEnd w:id="46"/>
      <w:r>
        <w:rPr>
          <w:rFonts w:eastAsia="黑体"/>
          <w:b w:val="0"/>
          <w:color w:val="auto"/>
          <w:sz w:val="24"/>
          <w:szCs w:val="24"/>
        </w:rPr>
        <w:t>喷射设备</w:t>
      </w:r>
      <w:bookmarkEnd w:id="47"/>
    </w:p>
    <w:p>
      <w:pPr>
        <w:pStyle w:val="48"/>
        <w:numPr>
          <w:ilvl w:val="0"/>
          <w:numId w:val="24"/>
        </w:numPr>
        <w:ind w:left="0" w:firstLine="0"/>
        <w:rPr>
          <w:color w:val="auto"/>
        </w:rPr>
      </w:pPr>
      <w:r>
        <w:rPr>
          <w:color w:val="auto"/>
        </w:rPr>
        <w:t>湿喷混凝土设备的性能应符合下列要求：</w:t>
      </w:r>
    </w:p>
    <w:p>
      <w:pPr>
        <w:ind w:firstLine="482" w:firstLineChars="200"/>
        <w:rPr>
          <w:color w:val="auto"/>
        </w:rPr>
      </w:pPr>
      <w:r>
        <w:rPr>
          <w:rFonts w:eastAsia="黑体"/>
          <w:b/>
          <w:bCs/>
          <w:color w:val="auto"/>
        </w:rPr>
        <w:t xml:space="preserve">1  </w:t>
      </w:r>
      <w:r>
        <w:rPr>
          <w:color w:val="auto"/>
        </w:rPr>
        <w:t>混凝土湿喷机的最大喷射高度和宽度必须大于需要支护的隧道高度和宽度。</w:t>
      </w:r>
    </w:p>
    <w:p>
      <w:pPr>
        <w:ind w:firstLine="482" w:firstLineChars="200"/>
        <w:rPr>
          <w:color w:val="auto"/>
        </w:rPr>
      </w:pPr>
      <w:r>
        <w:rPr>
          <w:rFonts w:eastAsia="黑体"/>
          <w:b/>
          <w:bCs/>
          <w:color w:val="auto"/>
        </w:rPr>
        <w:t xml:space="preserve">2  </w:t>
      </w:r>
      <w:r>
        <w:rPr>
          <w:color w:val="auto"/>
        </w:rPr>
        <w:t>混凝土湿喷机的最大理论喷射方量宜根据隧道喷射混凝土施工量和施工进度要求选择，</w:t>
      </w:r>
      <w:r>
        <w:rPr>
          <w:rFonts w:hint="eastAsia"/>
          <w:color w:val="auto"/>
        </w:rPr>
        <w:t>双线及以上隧道</w:t>
      </w:r>
      <w:r>
        <w:rPr>
          <w:color w:val="auto"/>
        </w:rPr>
        <w:t>宜选用最大理论喷射方量不小于30m³/h的混凝土湿喷机，</w:t>
      </w:r>
      <w:r>
        <w:rPr>
          <w:rFonts w:hint="eastAsia"/>
          <w:color w:val="auto"/>
        </w:rPr>
        <w:t>单线隧道</w:t>
      </w:r>
      <w:r>
        <w:rPr>
          <w:color w:val="auto"/>
        </w:rPr>
        <w:t>宜选用最大理论喷射方量不小于20m³/h的混凝土湿喷机。</w:t>
      </w:r>
    </w:p>
    <w:p>
      <w:pPr>
        <w:ind w:firstLine="482" w:firstLineChars="200"/>
        <w:rPr>
          <w:color w:val="auto"/>
        </w:rPr>
      </w:pPr>
      <w:r>
        <w:rPr>
          <w:b/>
          <w:color w:val="auto"/>
        </w:rPr>
        <w:t xml:space="preserve">3  </w:t>
      </w:r>
      <w:r>
        <w:rPr>
          <w:color w:val="auto"/>
        </w:rPr>
        <w:t>混凝土湿喷机爬坡能力不</w:t>
      </w:r>
      <w:r>
        <w:rPr>
          <w:rFonts w:hint="eastAsia"/>
          <w:color w:val="auto"/>
        </w:rPr>
        <w:t>宜</w:t>
      </w:r>
      <w:r>
        <w:rPr>
          <w:color w:val="auto"/>
        </w:rPr>
        <w:t>小于20%</w:t>
      </w:r>
      <w:r>
        <w:rPr>
          <w:rFonts w:hint="eastAsia"/>
          <w:color w:val="auto"/>
        </w:rPr>
        <w:t>的坡度</w:t>
      </w:r>
      <w:r>
        <w:rPr>
          <w:color w:val="auto"/>
        </w:rPr>
        <w:t>，履带式混凝土湿喷机最高行驶速度不</w:t>
      </w:r>
      <w:r>
        <w:rPr>
          <w:rFonts w:hint="eastAsia"/>
          <w:color w:val="auto"/>
        </w:rPr>
        <w:t>宜</w:t>
      </w:r>
      <w:r>
        <w:rPr>
          <w:color w:val="auto"/>
        </w:rPr>
        <w:t>小于3</w:t>
      </w:r>
      <w:r>
        <w:rPr>
          <w:rFonts w:hint="eastAsia"/>
          <w:color w:val="auto"/>
        </w:rPr>
        <w:t>k</w:t>
      </w:r>
      <w:r>
        <w:rPr>
          <w:color w:val="auto"/>
        </w:rPr>
        <w:t>m/h，轮胎式混凝土湿喷机最高行驶速度不</w:t>
      </w:r>
      <w:r>
        <w:rPr>
          <w:rFonts w:hint="eastAsia"/>
          <w:color w:val="auto"/>
        </w:rPr>
        <w:t>宜</w:t>
      </w:r>
      <w:r>
        <w:rPr>
          <w:color w:val="auto"/>
        </w:rPr>
        <w:t>小于15</w:t>
      </w:r>
      <w:r>
        <w:rPr>
          <w:rFonts w:hint="eastAsia"/>
          <w:color w:val="auto"/>
        </w:rPr>
        <w:t>k</w:t>
      </w:r>
      <w:r>
        <w:rPr>
          <w:color w:val="auto"/>
        </w:rPr>
        <w:t>m/h。</w:t>
      </w:r>
    </w:p>
    <w:p>
      <w:pPr>
        <w:pStyle w:val="48"/>
        <w:numPr>
          <w:ilvl w:val="0"/>
          <w:numId w:val="24"/>
        </w:numPr>
        <w:ind w:left="0" w:firstLine="0"/>
        <w:rPr>
          <w:color w:val="auto"/>
        </w:rPr>
      </w:pPr>
      <w:r>
        <w:rPr>
          <w:color w:val="auto"/>
        </w:rPr>
        <w:t>护坡等户外施工且需频繁转场的工况，宜选择通用底盘混凝土湿喷机进行作业，隧道内转向空间狭小、路况差的工况，宜选择自制底盘混凝土湿喷机进行作业。</w:t>
      </w:r>
    </w:p>
    <w:p>
      <w:pPr>
        <w:pStyle w:val="48"/>
        <w:numPr>
          <w:ilvl w:val="0"/>
          <w:numId w:val="24"/>
        </w:numPr>
        <w:ind w:left="0" w:firstLine="0"/>
        <w:rPr>
          <w:color w:val="auto"/>
        </w:rPr>
      </w:pPr>
      <w:r>
        <w:rPr>
          <w:color w:val="auto"/>
        </w:rPr>
        <w:t>隧道内无风管供风或用气设备较多气压不稳定的工况，宜选择自带空压机的混凝土湿喷机进行作业。</w:t>
      </w:r>
    </w:p>
    <w:p>
      <w:pPr>
        <w:pStyle w:val="48"/>
        <w:numPr>
          <w:ilvl w:val="0"/>
          <w:numId w:val="24"/>
        </w:numPr>
        <w:ind w:left="0" w:firstLine="0"/>
        <w:rPr>
          <w:color w:val="auto"/>
        </w:rPr>
      </w:pPr>
      <w:r>
        <w:rPr>
          <w:color w:val="auto"/>
        </w:rPr>
        <w:t>铁路双线</w:t>
      </w:r>
      <w:r>
        <w:rPr>
          <w:rFonts w:hint="eastAsia"/>
          <w:color w:val="auto"/>
        </w:rPr>
        <w:t>及以上</w:t>
      </w:r>
      <w:r>
        <w:rPr>
          <w:color w:val="auto"/>
        </w:rPr>
        <w:t>隧道，宜采用1台双臂混凝土湿喷机</w:t>
      </w:r>
      <w:r>
        <w:rPr>
          <w:rFonts w:hint="eastAsia"/>
          <w:color w:val="auto"/>
        </w:rPr>
        <w:t>或2台单臂混凝土湿喷机</w:t>
      </w:r>
      <w:r>
        <w:rPr>
          <w:color w:val="auto"/>
        </w:rPr>
        <w:t>进行喷射作业。</w:t>
      </w:r>
    </w:p>
    <w:p>
      <w:pPr>
        <w:pStyle w:val="48"/>
        <w:numPr>
          <w:ilvl w:val="0"/>
          <w:numId w:val="24"/>
        </w:numPr>
        <w:ind w:left="0" w:firstLine="0"/>
        <w:rPr>
          <w:color w:val="auto"/>
        </w:rPr>
      </w:pPr>
      <w:r>
        <w:rPr>
          <w:color w:val="auto"/>
        </w:rPr>
        <w:t>铁路单线隧道、斜井、支洞、泄水洞等中小断面隧道宜采用单臂混凝土湿喷机作业。</w:t>
      </w:r>
    </w:p>
    <w:p>
      <w:pPr>
        <w:pStyle w:val="48"/>
        <w:numPr>
          <w:ilvl w:val="0"/>
          <w:numId w:val="24"/>
        </w:numPr>
        <w:ind w:left="0" w:firstLine="0"/>
        <w:rPr>
          <w:color w:val="auto"/>
        </w:rPr>
      </w:pPr>
      <w:r>
        <w:rPr>
          <w:rFonts w:hint="eastAsia"/>
          <w:color w:val="auto"/>
        </w:rPr>
        <w:t>隧道采用大型混凝土湿喷机无法正常施工的部位，宜采用分体式喷射机组或手持式小型混凝土湿喷机作业。</w:t>
      </w:r>
    </w:p>
    <w:p>
      <w:pPr>
        <w:pStyle w:val="48"/>
        <w:numPr>
          <w:ilvl w:val="0"/>
          <w:numId w:val="24"/>
        </w:numPr>
        <w:ind w:left="0" w:firstLine="0"/>
        <w:rPr>
          <w:color w:val="auto"/>
        </w:rPr>
      </w:pPr>
      <w:r>
        <w:rPr>
          <w:color w:val="auto"/>
        </w:rPr>
        <w:t>喷射作业现场施工条件应符合以下规定：</w:t>
      </w:r>
    </w:p>
    <w:p>
      <w:pPr>
        <w:ind w:firstLine="482" w:firstLineChars="200"/>
        <w:rPr>
          <w:color w:val="auto"/>
        </w:rPr>
      </w:pPr>
      <w:r>
        <w:rPr>
          <w:rFonts w:eastAsia="黑体"/>
          <w:b/>
          <w:bCs/>
          <w:color w:val="auto"/>
        </w:rPr>
        <w:t xml:space="preserve">1  </w:t>
      </w:r>
      <w:r>
        <w:rPr>
          <w:color w:val="auto"/>
        </w:rPr>
        <w:t>掌子面供电功率应不小于混凝土湿喷机正常工作时的最大功率，湿喷机空载电压不宜低于400V，湿喷机工作时电压不宜低于370V，混凝土湿喷机距离变压器的距离不宜大于500m。</w:t>
      </w:r>
    </w:p>
    <w:p>
      <w:pPr>
        <w:ind w:firstLine="482" w:firstLineChars="200"/>
        <w:rPr>
          <w:color w:val="auto"/>
        </w:rPr>
      </w:pPr>
      <w:r>
        <w:rPr>
          <w:rFonts w:eastAsia="黑体"/>
          <w:b/>
          <w:bCs/>
          <w:color w:val="auto"/>
        </w:rPr>
        <w:t xml:space="preserve">2  </w:t>
      </w:r>
      <w:r>
        <w:rPr>
          <w:color w:val="auto"/>
        </w:rPr>
        <w:t>采用不带空压机的混凝土湿喷机作业时，外部供风的风量、风压应满足喷射设备要求。</w:t>
      </w:r>
    </w:p>
    <w:p>
      <w:pPr>
        <w:pStyle w:val="3"/>
        <w:keepNext/>
        <w:keepLines/>
        <w:spacing w:before="360" w:beforeLines="0" w:after="360" w:afterLines="0" w:line="400" w:lineRule="atLeast"/>
        <w:rPr>
          <w:rFonts w:eastAsia="黑体"/>
          <w:b w:val="0"/>
          <w:color w:val="auto"/>
          <w:sz w:val="24"/>
          <w:szCs w:val="24"/>
        </w:rPr>
      </w:pPr>
      <w:bookmarkStart w:id="48" w:name="_Toc1658248"/>
      <w:r>
        <w:rPr>
          <w:rFonts w:eastAsia="黑体"/>
          <w:b w:val="0"/>
          <w:color w:val="auto"/>
          <w:sz w:val="24"/>
          <w:szCs w:val="24"/>
        </w:rPr>
        <w:t xml:space="preserve">7.3  </w:t>
      </w:r>
      <w:r>
        <w:rPr>
          <w:rFonts w:hint="eastAsia" w:eastAsia="黑体"/>
          <w:b w:val="0"/>
          <w:color w:val="auto"/>
          <w:sz w:val="24"/>
          <w:szCs w:val="24"/>
        </w:rPr>
        <w:t>喷</w:t>
      </w:r>
      <w:r>
        <w:rPr>
          <w:rFonts w:eastAsia="黑体"/>
          <w:b w:val="0"/>
          <w:color w:val="auto"/>
          <w:sz w:val="24"/>
          <w:szCs w:val="24"/>
        </w:rPr>
        <w:t>射工艺流程</w:t>
      </w:r>
      <w:bookmarkEnd w:id="48"/>
    </w:p>
    <w:p>
      <w:pPr>
        <w:pStyle w:val="48"/>
        <w:numPr>
          <w:ilvl w:val="0"/>
          <w:numId w:val="25"/>
        </w:numPr>
        <w:ind w:left="0" w:firstLine="0"/>
        <w:rPr>
          <w:color w:val="auto"/>
        </w:rPr>
      </w:pPr>
      <w:r>
        <w:rPr>
          <w:color w:val="auto"/>
        </w:rPr>
        <w:t>湿喷混凝土施工工艺流程</w:t>
      </w:r>
      <w:r>
        <w:rPr>
          <w:rFonts w:hint="eastAsia"/>
          <w:color w:val="auto"/>
        </w:rPr>
        <w:t>见</w:t>
      </w:r>
      <w:r>
        <w:rPr>
          <w:color w:val="auto"/>
        </w:rPr>
        <w:t>图7.3.1。</w:t>
      </w:r>
    </w:p>
    <w:p>
      <w:pPr>
        <w:jc w:val="center"/>
        <w:rPr>
          <w:color w:val="auto"/>
        </w:rPr>
      </w:pPr>
      <w:r>
        <w:rPr>
          <w:color w:val="auto"/>
        </w:rPr>
        <w:object>
          <v:shape id="_x0000_i1042" o:spt="75" type="#_x0000_t75" style="height:354.3pt;width:334.35pt;" o:ole="t" filled="f" o:preferrelative="t" stroked="f" coordsize="21600,21600">
            <v:path/>
            <v:fill on="f" focussize="0,0"/>
            <v:stroke on="f" joinstyle="miter"/>
            <v:imagedata r:id="rId47" o:title=""/>
            <o:lock v:ext="edit" aspectratio="t"/>
            <w10:wrap type="none"/>
            <w10:anchorlock/>
          </v:shape>
          <o:OLEObject Type="Embed" ProgID="Visio.Drawing.11" ShapeID="_x0000_i1042" DrawAspect="Content" ObjectID="_1468075742" r:id="rId46">
            <o:LockedField>false</o:LockedField>
          </o:OLEObject>
        </w:object>
      </w:r>
    </w:p>
    <w:p>
      <w:pPr>
        <w:spacing w:after="100" w:afterAutospacing="1" w:line="400" w:lineRule="exact"/>
        <w:jc w:val="center"/>
        <w:rPr>
          <w:bCs/>
          <w:color w:val="auto"/>
          <w:sz w:val="21"/>
          <w:szCs w:val="21"/>
        </w:rPr>
      </w:pPr>
      <w:r>
        <w:rPr>
          <w:rFonts w:eastAsia="黑体"/>
          <w:bCs/>
          <w:color w:val="auto"/>
          <w:sz w:val="21"/>
          <w:szCs w:val="21"/>
        </w:rPr>
        <w:t>图7.3.1  湿喷混凝土施工工艺流程图</w:t>
      </w:r>
    </w:p>
    <w:p>
      <w:pPr>
        <w:keepNext/>
        <w:keepLines/>
        <w:spacing w:before="360" w:after="360" w:line="400" w:lineRule="exact"/>
        <w:jc w:val="center"/>
        <w:outlineLvl w:val="1"/>
        <w:rPr>
          <w:bCs/>
          <w:color w:val="auto"/>
          <w:sz w:val="21"/>
          <w:szCs w:val="21"/>
        </w:rPr>
      </w:pPr>
      <w:r>
        <w:rPr>
          <w:bCs/>
          <w:color w:val="auto"/>
          <w:sz w:val="21"/>
          <w:szCs w:val="21"/>
        </w:rPr>
        <w:br w:type="page"/>
      </w:r>
      <w:bookmarkStart w:id="49" w:name="_Toc1658249"/>
      <w:r>
        <w:rPr>
          <w:rFonts w:eastAsia="黑体"/>
          <w:color w:val="auto"/>
          <w:szCs w:val="24"/>
        </w:rPr>
        <w:t xml:space="preserve">7.4  </w:t>
      </w:r>
      <w:r>
        <w:rPr>
          <w:rFonts w:hint="eastAsia" w:eastAsia="黑体"/>
          <w:color w:val="auto"/>
          <w:szCs w:val="24"/>
        </w:rPr>
        <w:t>施工准备</w:t>
      </w:r>
      <w:bookmarkEnd w:id="49"/>
    </w:p>
    <w:p>
      <w:pPr>
        <w:pStyle w:val="48"/>
        <w:numPr>
          <w:ilvl w:val="0"/>
          <w:numId w:val="26"/>
        </w:numPr>
        <w:ind w:left="0" w:firstLine="0"/>
        <w:rPr>
          <w:color w:val="auto"/>
        </w:rPr>
      </w:pPr>
      <w:r>
        <w:rPr>
          <w:color w:val="auto"/>
        </w:rPr>
        <w:t>紧前工序经验收合格后，方可进行湿喷作业。</w:t>
      </w:r>
    </w:p>
    <w:p>
      <w:pPr>
        <w:pStyle w:val="48"/>
        <w:numPr>
          <w:ilvl w:val="0"/>
          <w:numId w:val="26"/>
        </w:numPr>
        <w:ind w:left="0" w:firstLine="0"/>
        <w:rPr>
          <w:color w:val="auto"/>
        </w:rPr>
      </w:pPr>
      <w:r>
        <w:rPr>
          <w:color w:val="auto"/>
        </w:rPr>
        <w:t>作业区内应具有</w:t>
      </w:r>
      <w:r>
        <w:rPr>
          <w:rFonts w:hint="eastAsia"/>
          <w:color w:val="auto"/>
        </w:rPr>
        <w:t>足够</w:t>
      </w:r>
      <w:r>
        <w:rPr>
          <w:color w:val="auto"/>
        </w:rPr>
        <w:t>的通风和照明</w:t>
      </w:r>
      <w:r>
        <w:rPr>
          <w:rFonts w:hint="eastAsia"/>
          <w:color w:val="auto"/>
        </w:rPr>
        <w:t>设备</w:t>
      </w:r>
      <w:r>
        <w:rPr>
          <w:color w:val="auto"/>
        </w:rPr>
        <w:t>。</w:t>
      </w:r>
    </w:p>
    <w:p>
      <w:pPr>
        <w:pStyle w:val="48"/>
        <w:numPr>
          <w:ilvl w:val="0"/>
          <w:numId w:val="26"/>
        </w:numPr>
        <w:ind w:left="0" w:firstLine="0"/>
        <w:rPr>
          <w:color w:val="auto"/>
          <w:szCs w:val="24"/>
        </w:rPr>
      </w:pPr>
      <w:r>
        <w:rPr>
          <w:color w:val="auto"/>
          <w:szCs w:val="24"/>
        </w:rPr>
        <w:t>混凝土喷射前应检查开挖断面净空尺寸，清除松动岩块和虚碴。</w:t>
      </w:r>
      <w:r>
        <w:rPr>
          <w:rFonts w:hint="eastAsia"/>
          <w:color w:val="auto"/>
          <w:szCs w:val="24"/>
        </w:rPr>
        <w:t xml:space="preserve">有水地段宜做好引流措施。 </w:t>
      </w:r>
    </w:p>
    <w:p>
      <w:pPr>
        <w:pStyle w:val="48"/>
        <w:numPr>
          <w:ilvl w:val="0"/>
          <w:numId w:val="26"/>
        </w:numPr>
        <w:ind w:left="0" w:firstLine="0"/>
        <w:rPr>
          <w:color w:val="auto"/>
        </w:rPr>
      </w:pPr>
      <w:r>
        <w:rPr>
          <w:color w:val="auto"/>
        </w:rPr>
        <w:t>湿喷混凝土</w:t>
      </w:r>
      <w:r>
        <w:rPr>
          <w:rFonts w:hint="eastAsia"/>
          <w:color w:val="auto"/>
        </w:rPr>
        <w:t>可</w:t>
      </w:r>
      <w:r>
        <w:rPr>
          <w:color w:val="auto"/>
        </w:rPr>
        <w:t>采用埋钉法或锚杆头控制湿喷混凝土厚度。</w:t>
      </w:r>
    </w:p>
    <w:p>
      <w:pPr>
        <w:pStyle w:val="48"/>
        <w:numPr>
          <w:ilvl w:val="0"/>
          <w:numId w:val="26"/>
        </w:numPr>
        <w:ind w:left="0" w:firstLine="0"/>
        <w:rPr>
          <w:color w:val="auto"/>
        </w:rPr>
      </w:pPr>
      <w:r>
        <w:rPr>
          <w:color w:val="auto"/>
        </w:rPr>
        <w:t>湿喷前，应对机械设备、输料管路和电缆线路进行检查及试运转。</w:t>
      </w:r>
    </w:p>
    <w:p>
      <w:pPr>
        <w:keepNext/>
        <w:keepLines/>
        <w:spacing w:before="360" w:after="360" w:line="400" w:lineRule="exact"/>
        <w:jc w:val="center"/>
        <w:outlineLvl w:val="1"/>
        <w:rPr>
          <w:bCs/>
          <w:color w:val="auto"/>
          <w:sz w:val="21"/>
          <w:szCs w:val="21"/>
        </w:rPr>
      </w:pPr>
      <w:bookmarkStart w:id="50" w:name="_Toc1658250"/>
      <w:r>
        <w:rPr>
          <w:rFonts w:eastAsia="黑体"/>
          <w:color w:val="auto"/>
          <w:szCs w:val="24"/>
        </w:rPr>
        <w:t>7.</w:t>
      </w:r>
      <w:r>
        <w:rPr>
          <w:rFonts w:hint="eastAsia" w:eastAsia="黑体"/>
          <w:color w:val="auto"/>
          <w:szCs w:val="24"/>
        </w:rPr>
        <w:t>5喷</w:t>
      </w:r>
      <w:r>
        <w:rPr>
          <w:rFonts w:eastAsia="黑体"/>
          <w:color w:val="auto"/>
          <w:szCs w:val="24"/>
        </w:rPr>
        <w:t>射作业</w:t>
      </w:r>
      <w:bookmarkEnd w:id="50"/>
    </w:p>
    <w:p>
      <w:pPr>
        <w:pStyle w:val="48"/>
        <w:numPr>
          <w:ilvl w:val="0"/>
          <w:numId w:val="27"/>
        </w:numPr>
        <w:ind w:left="0" w:firstLine="0"/>
        <w:rPr>
          <w:color w:val="auto"/>
        </w:rPr>
      </w:pPr>
      <w:r>
        <w:rPr>
          <w:color w:val="auto"/>
        </w:rPr>
        <w:t>湿喷混凝土施工前应进行试喷，混凝土性能合格后方可进行喷射</w:t>
      </w:r>
      <w:r>
        <w:rPr>
          <w:rFonts w:hint="eastAsia"/>
          <w:color w:val="auto"/>
        </w:rPr>
        <w:t>作业</w:t>
      </w:r>
      <w:r>
        <w:rPr>
          <w:color w:val="auto"/>
        </w:rPr>
        <w:t>。</w:t>
      </w:r>
    </w:p>
    <w:p>
      <w:pPr>
        <w:pStyle w:val="48"/>
        <w:numPr>
          <w:ilvl w:val="0"/>
          <w:numId w:val="27"/>
        </w:numPr>
        <w:ind w:left="0" w:firstLine="0"/>
        <w:rPr>
          <w:color w:val="auto"/>
        </w:rPr>
      </w:pPr>
      <w:r>
        <w:rPr>
          <w:color w:val="auto"/>
        </w:rPr>
        <w:t>料斗混凝土量控制应符合下列规定：</w:t>
      </w:r>
    </w:p>
    <w:p>
      <w:pPr>
        <w:ind w:firstLine="482" w:firstLineChars="200"/>
        <w:rPr>
          <w:color w:val="auto"/>
          <w:szCs w:val="24"/>
        </w:rPr>
      </w:pPr>
      <w:r>
        <w:rPr>
          <w:b/>
          <w:color w:val="auto"/>
          <w:szCs w:val="24"/>
        </w:rPr>
        <w:t>1</w:t>
      </w:r>
      <w:r>
        <w:rPr>
          <w:color w:val="auto"/>
          <w:szCs w:val="24"/>
        </w:rPr>
        <w:t xml:space="preserve">  料斗中混凝土面应维持在搅拌轴中线以上，不宜超过料网高度。</w:t>
      </w:r>
    </w:p>
    <w:p>
      <w:pPr>
        <w:ind w:firstLine="482" w:firstLineChars="200"/>
        <w:rPr>
          <w:color w:val="auto"/>
          <w:szCs w:val="24"/>
        </w:rPr>
      </w:pPr>
      <w:r>
        <w:rPr>
          <w:b/>
          <w:color w:val="auto"/>
          <w:szCs w:val="24"/>
        </w:rPr>
        <w:t>2</w:t>
      </w:r>
      <w:r>
        <w:rPr>
          <w:color w:val="auto"/>
          <w:szCs w:val="24"/>
        </w:rPr>
        <w:t xml:space="preserve">  料网中混凝土不宜堆满，放料应控制供料流量，及时清除超径骨料和杂物。</w:t>
      </w:r>
    </w:p>
    <w:p>
      <w:pPr>
        <w:ind w:firstLine="482" w:firstLineChars="200"/>
        <w:rPr>
          <w:color w:val="auto"/>
          <w:szCs w:val="24"/>
        </w:rPr>
      </w:pPr>
      <w:r>
        <w:rPr>
          <w:b/>
          <w:color w:val="auto"/>
          <w:szCs w:val="24"/>
        </w:rPr>
        <w:t xml:space="preserve">3 </w:t>
      </w:r>
      <w:r>
        <w:rPr>
          <w:color w:val="auto"/>
          <w:szCs w:val="24"/>
        </w:rPr>
        <w:t xml:space="preserve"> 喷射作业中断时，料斗内混凝土应不少于料斗容积的2/3。</w:t>
      </w:r>
    </w:p>
    <w:p>
      <w:pPr>
        <w:pStyle w:val="48"/>
        <w:numPr>
          <w:ilvl w:val="0"/>
          <w:numId w:val="27"/>
        </w:numPr>
        <w:rPr>
          <w:color w:val="auto"/>
        </w:rPr>
      </w:pPr>
      <w:r>
        <w:rPr>
          <w:color w:val="auto"/>
          <w:szCs w:val="24"/>
        </w:rPr>
        <w:t>初喷混凝土支护工艺</w:t>
      </w:r>
      <w:r>
        <w:rPr>
          <w:color w:val="auto"/>
        </w:rPr>
        <w:t>控制应符合下列规定：</w:t>
      </w:r>
    </w:p>
    <w:p>
      <w:pPr>
        <w:ind w:firstLine="482" w:firstLineChars="200"/>
        <w:rPr>
          <w:color w:val="auto"/>
          <w:szCs w:val="24"/>
        </w:rPr>
      </w:pPr>
      <w:r>
        <w:rPr>
          <w:b/>
          <w:color w:val="auto"/>
          <w:szCs w:val="24"/>
        </w:rPr>
        <w:t xml:space="preserve">1  </w:t>
      </w:r>
      <w:r>
        <w:rPr>
          <w:color w:val="auto"/>
          <w:szCs w:val="24"/>
        </w:rPr>
        <w:t>湿喷混凝土应遵循仰拱、边墙、拱部的喷射顺序。</w:t>
      </w:r>
    </w:p>
    <w:p>
      <w:pPr>
        <w:ind w:firstLine="482" w:firstLineChars="200"/>
        <w:rPr>
          <w:color w:val="auto"/>
          <w:szCs w:val="24"/>
        </w:rPr>
      </w:pPr>
      <w:r>
        <w:rPr>
          <w:b/>
          <w:bCs/>
          <w:color w:val="auto"/>
        </w:rPr>
        <w:t xml:space="preserve">2  </w:t>
      </w:r>
      <w:r>
        <w:rPr>
          <w:color w:val="auto"/>
          <w:szCs w:val="24"/>
        </w:rPr>
        <w:t>初喷厚度应符合《喷射混凝土应用技术规程》JGJT372的规定。</w:t>
      </w:r>
    </w:p>
    <w:p>
      <w:pPr>
        <w:ind w:firstLine="482" w:firstLineChars="200"/>
        <w:rPr>
          <w:color w:val="auto"/>
          <w:szCs w:val="24"/>
        </w:rPr>
      </w:pPr>
      <w:r>
        <w:rPr>
          <w:b/>
          <w:bCs/>
          <w:color w:val="auto"/>
        </w:rPr>
        <w:t xml:space="preserve">3  </w:t>
      </w:r>
      <w:r>
        <w:rPr>
          <w:color w:val="auto"/>
          <w:szCs w:val="24"/>
        </w:rPr>
        <w:t>边墙环向分层高度宜控制</w:t>
      </w:r>
      <w:r>
        <w:rPr>
          <w:rFonts w:hint="eastAsia"/>
          <w:color w:val="auto"/>
          <w:szCs w:val="24"/>
        </w:rPr>
        <w:t>在</w:t>
      </w:r>
      <w:r>
        <w:rPr>
          <w:color w:val="auto"/>
          <w:szCs w:val="24"/>
        </w:rPr>
        <w:t>0.6m～0.9m，拱部环向分层长度宜控制在0.6m～0.9m。</w:t>
      </w:r>
    </w:p>
    <w:p>
      <w:pPr>
        <w:ind w:firstLine="482" w:firstLineChars="200"/>
        <w:rPr>
          <w:b/>
          <w:bCs/>
          <w:color w:val="auto"/>
        </w:rPr>
      </w:pPr>
      <w:r>
        <w:rPr>
          <w:b/>
          <w:bCs/>
          <w:color w:val="auto"/>
        </w:rPr>
        <w:t xml:space="preserve">4  </w:t>
      </w:r>
      <w:r>
        <w:rPr>
          <w:color w:val="auto"/>
          <w:szCs w:val="24"/>
        </w:rPr>
        <w:t>喷嘴与受喷面喷射距离宜为2.0m。</w:t>
      </w:r>
    </w:p>
    <w:p>
      <w:pPr>
        <w:pStyle w:val="48"/>
        <w:numPr>
          <w:ilvl w:val="0"/>
          <w:numId w:val="27"/>
        </w:numPr>
        <w:rPr>
          <w:color w:val="auto"/>
        </w:rPr>
      </w:pPr>
      <w:r>
        <w:rPr>
          <w:color w:val="auto"/>
          <w:szCs w:val="24"/>
        </w:rPr>
        <w:t>锚网喷混凝土支护工艺</w:t>
      </w:r>
      <w:r>
        <w:rPr>
          <w:color w:val="auto"/>
        </w:rPr>
        <w:t>控制应符合下列规定：</w:t>
      </w:r>
    </w:p>
    <w:p>
      <w:pPr>
        <w:ind w:firstLine="482" w:firstLineChars="200"/>
        <w:rPr>
          <w:color w:val="auto"/>
          <w:szCs w:val="24"/>
        </w:rPr>
      </w:pPr>
      <w:r>
        <w:rPr>
          <w:b/>
          <w:color w:val="auto"/>
          <w:szCs w:val="24"/>
        </w:rPr>
        <w:t xml:space="preserve">1  </w:t>
      </w:r>
      <w:r>
        <w:rPr>
          <w:color w:val="auto"/>
          <w:szCs w:val="24"/>
        </w:rPr>
        <w:t>湿喷混凝土应遵循仰拱、边墙、拱部</w:t>
      </w:r>
      <w:r>
        <w:rPr>
          <w:rFonts w:hint="eastAsia"/>
          <w:color w:val="auto"/>
          <w:szCs w:val="24"/>
        </w:rPr>
        <w:t>的</w:t>
      </w:r>
      <w:r>
        <w:rPr>
          <w:color w:val="auto"/>
          <w:szCs w:val="24"/>
        </w:rPr>
        <w:t>喷射顺序。拱墙喷射时应遵循边墙、拱部</w:t>
      </w:r>
      <w:r>
        <w:rPr>
          <w:rFonts w:hint="eastAsia"/>
          <w:color w:val="auto"/>
          <w:szCs w:val="24"/>
        </w:rPr>
        <w:t>的</w:t>
      </w:r>
      <w:r>
        <w:rPr>
          <w:color w:val="auto"/>
          <w:szCs w:val="24"/>
        </w:rPr>
        <w:t>喷射顺序。</w:t>
      </w:r>
    </w:p>
    <w:p>
      <w:pPr>
        <w:ind w:firstLine="482" w:firstLineChars="200"/>
        <w:rPr>
          <w:color w:val="auto"/>
          <w:szCs w:val="24"/>
        </w:rPr>
      </w:pPr>
      <w:r>
        <w:rPr>
          <w:b/>
          <w:bCs/>
          <w:color w:val="auto"/>
        </w:rPr>
        <w:t xml:space="preserve">2  </w:t>
      </w:r>
      <w:r>
        <w:rPr>
          <w:bCs/>
          <w:color w:val="auto"/>
          <w:szCs w:val="24"/>
        </w:rPr>
        <w:t>分层喷射时后一层应在前一层终凝后进行。喷射厚度控制拱部不得超过</w:t>
      </w:r>
      <w:r>
        <w:rPr>
          <w:rFonts w:hint="eastAsia"/>
          <w:bCs/>
          <w:color w:val="auto"/>
          <w:szCs w:val="24"/>
        </w:rPr>
        <w:t>60mm</w:t>
      </w:r>
      <w:r>
        <w:rPr>
          <w:bCs/>
          <w:color w:val="auto"/>
          <w:szCs w:val="24"/>
        </w:rPr>
        <w:t>，边墙不得超过</w:t>
      </w:r>
      <w:r>
        <w:rPr>
          <w:rFonts w:hint="eastAsia"/>
          <w:bCs/>
          <w:color w:val="auto"/>
          <w:szCs w:val="24"/>
        </w:rPr>
        <w:t>80m</w:t>
      </w:r>
      <w:r>
        <w:rPr>
          <w:bCs/>
          <w:color w:val="auto"/>
          <w:szCs w:val="24"/>
        </w:rPr>
        <w:t>m。</w:t>
      </w:r>
    </w:p>
    <w:p>
      <w:pPr>
        <w:ind w:firstLine="482" w:firstLineChars="200"/>
        <w:rPr>
          <w:color w:val="auto"/>
          <w:szCs w:val="24"/>
        </w:rPr>
      </w:pPr>
      <w:r>
        <w:rPr>
          <w:b/>
          <w:bCs/>
          <w:color w:val="auto"/>
        </w:rPr>
        <w:t xml:space="preserve">3  </w:t>
      </w:r>
      <w:r>
        <w:rPr>
          <w:color w:val="auto"/>
          <w:szCs w:val="24"/>
        </w:rPr>
        <w:t>边墙环向分层高度宜控制0.6m～0.9m，拱部环向分层长度宜控制在0.6m～0.9m。</w:t>
      </w:r>
    </w:p>
    <w:p>
      <w:pPr>
        <w:ind w:firstLine="482" w:firstLineChars="200"/>
        <w:rPr>
          <w:b/>
          <w:bCs/>
          <w:color w:val="auto"/>
        </w:rPr>
      </w:pPr>
      <w:r>
        <w:rPr>
          <w:b/>
          <w:bCs/>
          <w:color w:val="auto"/>
        </w:rPr>
        <w:t xml:space="preserve">4  </w:t>
      </w:r>
      <w:r>
        <w:rPr>
          <w:color w:val="auto"/>
          <w:szCs w:val="24"/>
        </w:rPr>
        <w:t>喷嘴与受喷面喷射距离宜为1.0</w:t>
      </w:r>
      <w:r>
        <w:rPr>
          <w:rFonts w:hint="eastAsia"/>
          <w:color w:val="auto"/>
          <w:szCs w:val="24"/>
        </w:rPr>
        <w:t>m</w:t>
      </w:r>
      <w:r>
        <w:rPr>
          <w:color w:val="auto"/>
          <w:szCs w:val="24"/>
        </w:rPr>
        <w:t>～2.0m。</w:t>
      </w:r>
    </w:p>
    <w:p>
      <w:pPr>
        <w:pStyle w:val="48"/>
        <w:numPr>
          <w:ilvl w:val="0"/>
          <w:numId w:val="27"/>
        </w:numPr>
        <w:rPr>
          <w:color w:val="auto"/>
        </w:rPr>
      </w:pPr>
      <w:r>
        <w:rPr>
          <w:color w:val="auto"/>
          <w:szCs w:val="24"/>
        </w:rPr>
        <w:t>钢架与锚网</w:t>
      </w:r>
      <w:r>
        <w:rPr>
          <w:color w:val="auto"/>
        </w:rPr>
        <w:t>喷支护工艺控制应符合下列规定：</w:t>
      </w:r>
    </w:p>
    <w:p>
      <w:pPr>
        <w:ind w:firstLine="482" w:firstLineChars="200"/>
        <w:rPr>
          <w:color w:val="auto"/>
          <w:szCs w:val="24"/>
        </w:rPr>
      </w:pPr>
      <w:r>
        <w:rPr>
          <w:b/>
          <w:color w:val="auto"/>
        </w:rPr>
        <w:t xml:space="preserve">1  </w:t>
      </w:r>
      <w:r>
        <w:rPr>
          <w:color w:val="auto"/>
          <w:szCs w:val="24"/>
        </w:rPr>
        <w:t>湿喷混凝土应遵循钢架底部、仰拱、边墙、拱部的喷射顺序。拱墙初支复喷时应遵循钢架底部、边墙、拱部</w:t>
      </w:r>
      <w:r>
        <w:rPr>
          <w:rFonts w:hint="eastAsia"/>
          <w:color w:val="auto"/>
          <w:szCs w:val="24"/>
        </w:rPr>
        <w:t>的</w:t>
      </w:r>
      <w:r>
        <w:rPr>
          <w:color w:val="auto"/>
          <w:szCs w:val="24"/>
        </w:rPr>
        <w:t>喷射顺序。仰拱初支喷射时应遵循拱脚连接板、仰拱初支喷射顺序。</w:t>
      </w:r>
    </w:p>
    <w:p>
      <w:pPr>
        <w:ind w:firstLine="482" w:firstLineChars="200"/>
        <w:rPr>
          <w:color w:val="auto"/>
          <w:szCs w:val="24"/>
        </w:rPr>
      </w:pPr>
      <w:r>
        <w:rPr>
          <w:b/>
          <w:color w:val="auto"/>
          <w:szCs w:val="24"/>
        </w:rPr>
        <w:t xml:space="preserve">2  </w:t>
      </w:r>
      <w:r>
        <w:rPr>
          <w:bCs/>
          <w:color w:val="auto"/>
          <w:szCs w:val="24"/>
        </w:rPr>
        <w:t>分层喷射时后一层应在前一层终凝后进行。喷射厚度控制拱部不</w:t>
      </w:r>
      <w:r>
        <w:rPr>
          <w:rFonts w:hint="eastAsia"/>
          <w:bCs/>
          <w:color w:val="auto"/>
          <w:szCs w:val="24"/>
        </w:rPr>
        <w:t>应</w:t>
      </w:r>
      <w:r>
        <w:rPr>
          <w:bCs/>
          <w:color w:val="auto"/>
          <w:szCs w:val="24"/>
        </w:rPr>
        <w:t>超过</w:t>
      </w:r>
      <w:r>
        <w:rPr>
          <w:rFonts w:hint="eastAsia"/>
          <w:bCs/>
          <w:color w:val="auto"/>
          <w:szCs w:val="24"/>
        </w:rPr>
        <w:t>60m</w:t>
      </w:r>
      <w:r>
        <w:rPr>
          <w:bCs/>
          <w:color w:val="auto"/>
          <w:szCs w:val="24"/>
        </w:rPr>
        <w:t>m，边墙不</w:t>
      </w:r>
      <w:r>
        <w:rPr>
          <w:rFonts w:hint="eastAsia"/>
          <w:bCs/>
          <w:color w:val="auto"/>
          <w:szCs w:val="24"/>
        </w:rPr>
        <w:t>应</w:t>
      </w:r>
      <w:r>
        <w:rPr>
          <w:bCs/>
          <w:color w:val="auto"/>
          <w:szCs w:val="24"/>
        </w:rPr>
        <w:t>超过</w:t>
      </w:r>
      <w:r>
        <w:rPr>
          <w:rFonts w:hint="eastAsia"/>
          <w:bCs/>
          <w:color w:val="auto"/>
          <w:szCs w:val="24"/>
        </w:rPr>
        <w:t>80m</w:t>
      </w:r>
      <w:r>
        <w:rPr>
          <w:bCs/>
          <w:color w:val="auto"/>
          <w:szCs w:val="24"/>
        </w:rPr>
        <w:t>m。</w:t>
      </w:r>
    </w:p>
    <w:p>
      <w:pPr>
        <w:ind w:firstLine="482" w:firstLineChars="200"/>
        <w:rPr>
          <w:color w:val="auto"/>
          <w:szCs w:val="24"/>
        </w:rPr>
      </w:pPr>
      <w:r>
        <w:rPr>
          <w:b/>
          <w:color w:val="auto"/>
        </w:rPr>
        <w:t xml:space="preserve">3  </w:t>
      </w:r>
      <w:r>
        <w:rPr>
          <w:color w:val="auto"/>
          <w:szCs w:val="24"/>
        </w:rPr>
        <w:t>喷射路线纵向轨迹长度不大于1榀钢架间距。喷浆顺序应优先喷射钢架与壁面间混凝土。</w:t>
      </w:r>
    </w:p>
    <w:p>
      <w:pPr>
        <w:ind w:firstLine="482" w:firstLineChars="200"/>
        <w:rPr>
          <w:bCs/>
          <w:color w:val="auto"/>
          <w:szCs w:val="24"/>
        </w:rPr>
      </w:pPr>
      <w:r>
        <w:rPr>
          <w:rFonts w:hint="eastAsia"/>
          <w:b/>
          <w:color w:val="auto"/>
          <w:szCs w:val="24"/>
        </w:rPr>
        <w:t>4</w:t>
      </w:r>
      <w:r>
        <w:rPr>
          <w:bCs/>
          <w:color w:val="auto"/>
        </w:rPr>
        <w:t>收面厚度宜控制在</w:t>
      </w:r>
      <w:r>
        <w:rPr>
          <w:color w:val="auto"/>
          <w:szCs w:val="24"/>
        </w:rPr>
        <w:t>60mm～80mm，喷射距离宜为2.0m。</w:t>
      </w:r>
    </w:p>
    <w:p>
      <w:pPr>
        <w:pStyle w:val="48"/>
        <w:numPr>
          <w:ilvl w:val="0"/>
          <w:numId w:val="27"/>
        </w:numPr>
        <w:rPr>
          <w:color w:val="auto"/>
          <w:szCs w:val="24"/>
        </w:rPr>
      </w:pPr>
      <w:r>
        <w:rPr>
          <w:color w:val="auto"/>
          <w:szCs w:val="24"/>
        </w:rPr>
        <w:t>喷射时，喷嘴宜采用往复喷射、S形喷射或螺旋式喷射路线</w:t>
      </w:r>
      <w:r>
        <w:rPr>
          <w:rFonts w:hint="eastAsia"/>
          <w:color w:val="auto"/>
          <w:szCs w:val="24"/>
        </w:rPr>
        <w:t>；喷射角度宜采用90°</w:t>
      </w:r>
      <w:r>
        <w:rPr>
          <w:color w:val="auto"/>
          <w:szCs w:val="24"/>
        </w:rPr>
        <w:t>。</w:t>
      </w:r>
    </w:p>
    <w:p>
      <w:pPr>
        <w:widowControl/>
        <w:jc w:val="center"/>
        <w:rPr>
          <w:color w:val="auto"/>
          <w:kern w:val="0"/>
          <w:szCs w:val="24"/>
        </w:rPr>
      </w:pPr>
      <w:r>
        <w:rPr>
          <w:color w:val="auto"/>
        </w:rPr>
        <w:drawing>
          <wp:inline distT="0" distB="0" distL="0" distR="0">
            <wp:extent cx="2409190" cy="2321560"/>
            <wp:effectExtent l="0" t="0" r="0" b="254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2409190" cy="2321560"/>
                    </a:xfrm>
                    <a:prstGeom prst="rect">
                      <a:avLst/>
                    </a:prstGeom>
                    <a:noFill/>
                    <a:ln>
                      <a:noFill/>
                    </a:ln>
                  </pic:spPr>
                </pic:pic>
              </a:graphicData>
            </a:graphic>
          </wp:inline>
        </w:drawing>
      </w:r>
      <w:r>
        <w:rPr>
          <w:color w:val="auto"/>
        </w:rPr>
        <w:drawing>
          <wp:inline distT="0" distB="0" distL="0" distR="0">
            <wp:extent cx="2405380" cy="2242185"/>
            <wp:effectExtent l="0" t="0" r="0" b="5715"/>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2408949" cy="2245421"/>
                    </a:xfrm>
                    <a:prstGeom prst="rect">
                      <a:avLst/>
                    </a:prstGeom>
                    <a:noFill/>
                    <a:ln>
                      <a:noFill/>
                    </a:ln>
                  </pic:spPr>
                </pic:pic>
              </a:graphicData>
            </a:graphic>
          </wp:inline>
        </w:drawing>
      </w:r>
      <w:r>
        <w:rPr>
          <w:color w:val="auto"/>
          <w:kern w:val="0"/>
          <w:szCs w:val="24"/>
        </w:rPr>
        <w:drawing>
          <wp:inline distT="0" distB="0" distL="0" distR="0">
            <wp:extent cx="2480310" cy="2170430"/>
            <wp:effectExtent l="0" t="0" r="0" b="127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pic:cNvPicPr>
                      <a:picLocks noChangeAspect="1" noChangeArrowheads="1"/>
                    </pic:cNvPicPr>
                  </pic:nvPicPr>
                  <pic:blipFill>
                    <a:blip r:embed="rId50">
                      <a:extLst>
                        <a:ext uri="{28A0092B-C50C-407E-A947-70E740481C1C}">
                          <a14:useLocalDpi xmlns:a14="http://schemas.microsoft.com/office/drawing/2010/main" val="0"/>
                        </a:ext>
                      </a:extLst>
                    </a:blip>
                    <a:srcRect r="6165"/>
                    <a:stretch>
                      <a:fillRect/>
                    </a:stretch>
                  </pic:blipFill>
                  <pic:spPr>
                    <a:xfrm>
                      <a:off x="0" y="0"/>
                      <a:ext cx="2480969" cy="2170849"/>
                    </a:xfrm>
                    <a:prstGeom prst="rect">
                      <a:avLst/>
                    </a:prstGeom>
                    <a:noFill/>
                    <a:ln>
                      <a:noFill/>
                    </a:ln>
                  </pic:spPr>
                </pic:pic>
              </a:graphicData>
            </a:graphic>
          </wp:inline>
        </w:drawing>
      </w:r>
    </w:p>
    <w:p>
      <w:pPr>
        <w:spacing w:after="100" w:afterAutospacing="1" w:line="400" w:lineRule="exact"/>
        <w:jc w:val="center"/>
        <w:rPr>
          <w:rFonts w:eastAsia="黑体"/>
          <w:b/>
          <w:bCs/>
          <w:color w:val="auto"/>
          <w:sz w:val="21"/>
          <w:szCs w:val="21"/>
        </w:rPr>
      </w:pPr>
      <w:r>
        <w:rPr>
          <w:rFonts w:eastAsia="黑体"/>
          <w:color w:val="auto"/>
          <w:sz w:val="21"/>
          <w:szCs w:val="21"/>
        </w:rPr>
        <w:t>图7.</w:t>
      </w:r>
      <w:r>
        <w:rPr>
          <w:rFonts w:hint="eastAsia" w:eastAsia="黑体"/>
          <w:color w:val="auto"/>
          <w:sz w:val="21"/>
          <w:szCs w:val="21"/>
        </w:rPr>
        <w:t>5.6</w:t>
      </w:r>
      <w:r>
        <w:rPr>
          <w:rFonts w:eastAsia="黑体"/>
          <w:color w:val="auto"/>
          <w:sz w:val="21"/>
          <w:szCs w:val="21"/>
        </w:rPr>
        <w:t xml:space="preserve">  喷射路线示意图</w:t>
      </w:r>
    </w:p>
    <w:p>
      <w:pPr>
        <w:pStyle w:val="48"/>
        <w:numPr>
          <w:ilvl w:val="0"/>
          <w:numId w:val="27"/>
        </w:numPr>
        <w:ind w:left="0" w:firstLine="0"/>
        <w:rPr>
          <w:color w:val="auto"/>
          <w:szCs w:val="24"/>
        </w:rPr>
      </w:pPr>
      <w:r>
        <w:rPr>
          <w:color w:val="auto"/>
          <w:szCs w:val="24"/>
        </w:rPr>
        <w:t>喷射作业完成后应及时对设备进行检修和保养。</w:t>
      </w:r>
    </w:p>
    <w:p>
      <w:pPr>
        <w:pStyle w:val="3"/>
        <w:keepNext/>
        <w:keepLines/>
        <w:spacing w:before="360" w:beforeLines="0" w:after="360" w:afterLines="0" w:line="400" w:lineRule="atLeast"/>
        <w:rPr>
          <w:rFonts w:eastAsia="黑体"/>
          <w:b w:val="0"/>
          <w:color w:val="auto"/>
          <w:sz w:val="24"/>
          <w:szCs w:val="24"/>
        </w:rPr>
      </w:pPr>
      <w:bookmarkStart w:id="51" w:name="_Toc534722405"/>
      <w:bookmarkStart w:id="52" w:name="_Toc1658251"/>
      <w:r>
        <w:rPr>
          <w:rFonts w:eastAsia="黑体"/>
          <w:b w:val="0"/>
          <w:color w:val="auto"/>
          <w:sz w:val="24"/>
          <w:szCs w:val="24"/>
        </w:rPr>
        <w:t>7.</w:t>
      </w:r>
      <w:r>
        <w:rPr>
          <w:rFonts w:hint="eastAsia" w:eastAsia="黑体"/>
          <w:b w:val="0"/>
          <w:color w:val="auto"/>
          <w:sz w:val="24"/>
          <w:szCs w:val="24"/>
        </w:rPr>
        <w:t>6</w:t>
      </w:r>
      <w:r>
        <w:rPr>
          <w:rFonts w:eastAsia="黑体"/>
          <w:b w:val="0"/>
          <w:color w:val="auto"/>
          <w:sz w:val="24"/>
          <w:szCs w:val="24"/>
        </w:rPr>
        <w:t xml:space="preserve">  质量控制</w:t>
      </w:r>
      <w:bookmarkEnd w:id="51"/>
      <w:bookmarkEnd w:id="52"/>
    </w:p>
    <w:p>
      <w:pPr>
        <w:pStyle w:val="48"/>
        <w:numPr>
          <w:ilvl w:val="0"/>
          <w:numId w:val="28"/>
        </w:numPr>
        <w:ind w:hangingChars="175"/>
        <w:rPr>
          <w:color w:val="auto"/>
          <w:szCs w:val="24"/>
        </w:rPr>
      </w:pPr>
      <w:r>
        <w:rPr>
          <w:color w:val="auto"/>
          <w:szCs w:val="24"/>
        </w:rPr>
        <w:t>湿喷混凝土作业区温度宜为5</w:t>
      </w:r>
      <w:r>
        <w:rPr>
          <w:rFonts w:hint="eastAsia" w:ascii="宋体" w:hAnsi="宋体" w:cs="宋体"/>
          <w:color w:val="auto"/>
          <w:szCs w:val="24"/>
        </w:rPr>
        <w:t>℃</w:t>
      </w:r>
      <w:r>
        <w:rPr>
          <w:color w:val="auto"/>
          <w:szCs w:val="24"/>
        </w:rPr>
        <w:t>～35</w:t>
      </w:r>
      <w:r>
        <w:rPr>
          <w:rFonts w:hint="eastAsia" w:ascii="宋体" w:hAnsi="宋体" w:cs="宋体"/>
          <w:color w:val="auto"/>
          <w:szCs w:val="24"/>
        </w:rPr>
        <w:t>℃</w:t>
      </w:r>
      <w:r>
        <w:rPr>
          <w:color w:val="auto"/>
          <w:szCs w:val="24"/>
        </w:rPr>
        <w:t xml:space="preserve">。 </w:t>
      </w:r>
    </w:p>
    <w:p>
      <w:pPr>
        <w:pStyle w:val="48"/>
        <w:numPr>
          <w:ilvl w:val="0"/>
          <w:numId w:val="28"/>
        </w:numPr>
        <w:ind w:left="0" w:firstLine="0"/>
        <w:rPr>
          <w:color w:val="auto"/>
          <w:szCs w:val="24"/>
        </w:rPr>
      </w:pPr>
      <w:r>
        <w:rPr>
          <w:color w:val="auto"/>
          <w:szCs w:val="24"/>
        </w:rPr>
        <w:t>工作风压应稳定，不宜小于0.6MPa，其波动值不应大于0.01MPa。</w:t>
      </w:r>
    </w:p>
    <w:p>
      <w:pPr>
        <w:pStyle w:val="48"/>
        <w:numPr>
          <w:ilvl w:val="0"/>
          <w:numId w:val="28"/>
        </w:numPr>
        <w:ind w:left="0" w:firstLine="0"/>
        <w:rPr>
          <w:color w:val="auto"/>
          <w:szCs w:val="24"/>
        </w:rPr>
      </w:pPr>
      <w:r>
        <w:rPr>
          <w:color w:val="auto"/>
          <w:szCs w:val="24"/>
        </w:rPr>
        <w:t>湿喷混凝土坍落度不宜大于180mm。回弹率控制边墙不应大于1</w:t>
      </w:r>
      <w:r>
        <w:rPr>
          <w:rFonts w:hint="eastAsia"/>
          <w:color w:val="auto"/>
          <w:szCs w:val="24"/>
        </w:rPr>
        <w:t>5</w:t>
      </w:r>
      <w:r>
        <w:rPr>
          <w:color w:val="auto"/>
          <w:szCs w:val="24"/>
        </w:rPr>
        <w:t>%，拱部不应大于2</w:t>
      </w:r>
      <w:r>
        <w:rPr>
          <w:rFonts w:hint="eastAsia"/>
          <w:color w:val="auto"/>
          <w:szCs w:val="24"/>
        </w:rPr>
        <w:t>5</w:t>
      </w:r>
      <w:r>
        <w:rPr>
          <w:color w:val="auto"/>
          <w:szCs w:val="24"/>
        </w:rPr>
        <w:t>%</w:t>
      </w:r>
      <w:r>
        <w:rPr>
          <w:rFonts w:hint="eastAsia"/>
          <w:color w:val="auto"/>
          <w:szCs w:val="24"/>
        </w:rPr>
        <w:t>。</w:t>
      </w:r>
      <w:r>
        <w:rPr>
          <w:color w:val="auto"/>
          <w:szCs w:val="24"/>
        </w:rPr>
        <w:t>回弹率试验应按附录</w:t>
      </w:r>
      <w:r>
        <w:rPr>
          <w:rFonts w:hint="eastAsia"/>
          <w:color w:val="auto"/>
          <w:szCs w:val="24"/>
        </w:rPr>
        <w:t>E进行。</w:t>
      </w:r>
    </w:p>
    <w:p>
      <w:pPr>
        <w:pStyle w:val="48"/>
        <w:numPr>
          <w:ilvl w:val="0"/>
          <w:numId w:val="28"/>
        </w:numPr>
        <w:ind w:left="0" w:firstLine="0"/>
        <w:rPr>
          <w:color w:val="auto"/>
        </w:rPr>
      </w:pPr>
      <w:r>
        <w:rPr>
          <w:color w:val="auto"/>
        </w:rPr>
        <w:t>湿喷混凝土回弹料</w:t>
      </w:r>
      <w:r>
        <w:rPr>
          <w:rFonts w:hint="eastAsia"/>
          <w:color w:val="auto"/>
        </w:rPr>
        <w:t>应及时清除，</w:t>
      </w:r>
      <w:r>
        <w:rPr>
          <w:color w:val="auto"/>
        </w:rPr>
        <w:t>严禁重复使用。</w:t>
      </w:r>
    </w:p>
    <w:p>
      <w:pPr>
        <w:pStyle w:val="48"/>
        <w:numPr>
          <w:ilvl w:val="0"/>
          <w:numId w:val="28"/>
        </w:numPr>
        <w:ind w:left="0" w:firstLine="0"/>
        <w:rPr>
          <w:color w:val="auto"/>
        </w:rPr>
      </w:pPr>
      <w:r>
        <w:rPr>
          <w:color w:val="auto"/>
          <w:kern w:val="0"/>
          <w:szCs w:val="24"/>
        </w:rPr>
        <w:t>超挖部分应采用同等级混凝土喷射回填。</w:t>
      </w:r>
    </w:p>
    <w:p>
      <w:pPr>
        <w:pStyle w:val="48"/>
        <w:numPr>
          <w:ilvl w:val="0"/>
          <w:numId w:val="28"/>
        </w:numPr>
        <w:ind w:left="0" w:firstLine="0"/>
        <w:rPr>
          <w:color w:val="auto"/>
          <w:szCs w:val="24"/>
        </w:rPr>
      </w:pPr>
      <w:r>
        <w:rPr>
          <w:color w:val="auto"/>
          <w:szCs w:val="24"/>
        </w:rPr>
        <w:t>冬期施工时，应有防冻保暖措施；混凝土的入机温度不应低于5℃。</w:t>
      </w:r>
    </w:p>
    <w:p>
      <w:pPr>
        <w:pStyle w:val="48"/>
        <w:numPr>
          <w:ilvl w:val="0"/>
          <w:numId w:val="28"/>
        </w:numPr>
        <w:ind w:left="0" w:firstLine="0"/>
        <w:rPr>
          <w:color w:val="auto"/>
          <w:szCs w:val="24"/>
        </w:rPr>
      </w:pPr>
      <w:r>
        <w:rPr>
          <w:color w:val="auto"/>
          <w:szCs w:val="24"/>
        </w:rPr>
        <w:t>边仰坡湿喷混凝土前的准备工作应该符合以下要求：</w:t>
      </w:r>
    </w:p>
    <w:p>
      <w:pPr>
        <w:ind w:firstLine="482" w:firstLineChars="200"/>
        <w:rPr>
          <w:color w:val="auto"/>
          <w:szCs w:val="24"/>
        </w:rPr>
      </w:pPr>
      <w:r>
        <w:rPr>
          <w:b/>
          <w:bCs/>
          <w:color w:val="auto"/>
          <w:szCs w:val="24"/>
        </w:rPr>
        <w:t>1</w:t>
      </w:r>
      <w:r>
        <w:rPr>
          <w:color w:val="auto"/>
          <w:szCs w:val="24"/>
        </w:rPr>
        <w:t xml:space="preserve">  泄水孔安装和伸缩缝预留应满足设计及规范要求。</w:t>
      </w:r>
    </w:p>
    <w:p>
      <w:pPr>
        <w:ind w:firstLine="482" w:firstLineChars="200"/>
        <w:rPr>
          <w:color w:val="auto"/>
          <w:szCs w:val="24"/>
        </w:rPr>
      </w:pPr>
      <w:r>
        <w:rPr>
          <w:b/>
          <w:bCs/>
          <w:color w:val="auto"/>
          <w:szCs w:val="24"/>
        </w:rPr>
        <w:t>2</w:t>
      </w:r>
      <w:r>
        <w:rPr>
          <w:color w:val="auto"/>
          <w:szCs w:val="24"/>
        </w:rPr>
        <w:t xml:space="preserve">  泄水孔和伸缩缝宜采取保护措施。</w:t>
      </w:r>
    </w:p>
    <w:p>
      <w:pPr>
        <w:ind w:firstLine="482" w:firstLineChars="200"/>
        <w:rPr>
          <w:color w:val="auto"/>
          <w:szCs w:val="24"/>
        </w:rPr>
      </w:pPr>
      <w:r>
        <w:rPr>
          <w:b/>
          <w:bCs/>
          <w:color w:val="auto"/>
          <w:szCs w:val="24"/>
        </w:rPr>
        <w:t xml:space="preserve">3  </w:t>
      </w:r>
      <w:r>
        <w:rPr>
          <w:color w:val="auto"/>
          <w:szCs w:val="24"/>
        </w:rPr>
        <w:t>混凝土喷射应该遵循从自下而上的顺序。</w:t>
      </w:r>
    </w:p>
    <w:p>
      <w:pPr>
        <w:pStyle w:val="48"/>
        <w:numPr>
          <w:ilvl w:val="0"/>
          <w:numId w:val="28"/>
        </w:numPr>
        <w:ind w:hangingChars="175"/>
        <w:rPr>
          <w:color w:val="auto"/>
          <w:szCs w:val="24"/>
        </w:rPr>
      </w:pPr>
      <w:r>
        <w:rPr>
          <w:rFonts w:hint="eastAsia"/>
          <w:color w:val="auto"/>
          <w:szCs w:val="24"/>
        </w:rPr>
        <w:t>有水地段湿喷混凝土宜采取引流措施后再喷射。</w:t>
      </w:r>
    </w:p>
    <w:p>
      <w:pPr>
        <w:pStyle w:val="48"/>
        <w:numPr>
          <w:ilvl w:val="0"/>
          <w:numId w:val="28"/>
        </w:numPr>
        <w:ind w:left="0" w:firstLine="0"/>
        <w:rPr>
          <w:color w:val="auto"/>
          <w:szCs w:val="24"/>
        </w:rPr>
      </w:pPr>
      <w:r>
        <w:rPr>
          <w:color w:val="auto"/>
          <w:szCs w:val="24"/>
        </w:rPr>
        <w:t>钢纤维喷射混凝土表面宜再喷射一层普通混凝土作为保护层，其强度等级不应低于钢纤维混凝土的强度等级。保护层厚度宜不小于20mm，且应大于钢纤维长度。</w:t>
      </w:r>
    </w:p>
    <w:p>
      <w:pPr>
        <w:pStyle w:val="48"/>
        <w:numPr>
          <w:ilvl w:val="0"/>
          <w:numId w:val="28"/>
        </w:numPr>
        <w:ind w:left="0" w:firstLine="0"/>
        <w:rPr>
          <w:color w:val="auto"/>
        </w:rPr>
      </w:pPr>
      <w:r>
        <w:rPr>
          <w:color w:val="auto"/>
        </w:rPr>
        <w:t>采用钻爆法施工，湿喷混凝土紧跟开挖工作面施工时，混凝土终凝到下一循环爆破的间隔时间不应小于3h。</w:t>
      </w:r>
    </w:p>
    <w:p>
      <w:pPr>
        <w:pStyle w:val="48"/>
        <w:numPr>
          <w:ilvl w:val="0"/>
          <w:numId w:val="28"/>
        </w:numPr>
        <w:ind w:left="0" w:firstLine="0"/>
        <w:rPr>
          <w:color w:val="auto"/>
        </w:rPr>
      </w:pPr>
      <w:r>
        <w:rPr>
          <w:color w:val="auto"/>
        </w:rPr>
        <w:t>湿喷混凝土表面基层相邻两凸面间的深度和距离的比值应小于1/10。</w:t>
      </w:r>
      <w:bookmarkStart w:id="53" w:name="_Toc534722407"/>
    </w:p>
    <w:bookmarkEnd w:id="53"/>
    <w:p>
      <w:pPr>
        <w:pStyle w:val="3"/>
        <w:keepNext/>
        <w:keepLines/>
        <w:spacing w:before="360" w:beforeLines="0" w:after="360" w:afterLines="0" w:line="400" w:lineRule="atLeast"/>
        <w:rPr>
          <w:rFonts w:eastAsia="黑体"/>
          <w:b w:val="0"/>
          <w:color w:val="auto"/>
          <w:sz w:val="24"/>
          <w:szCs w:val="24"/>
        </w:rPr>
      </w:pPr>
      <w:bookmarkStart w:id="54" w:name="_Toc1658252"/>
      <w:r>
        <w:rPr>
          <w:rFonts w:eastAsia="黑体"/>
          <w:b w:val="0"/>
          <w:color w:val="auto"/>
          <w:sz w:val="24"/>
          <w:szCs w:val="24"/>
        </w:rPr>
        <w:t>7.</w:t>
      </w:r>
      <w:r>
        <w:rPr>
          <w:rFonts w:hint="eastAsia" w:eastAsia="黑体"/>
          <w:b w:val="0"/>
          <w:color w:val="auto"/>
          <w:sz w:val="24"/>
          <w:szCs w:val="24"/>
        </w:rPr>
        <w:t>7</w:t>
      </w:r>
      <w:r>
        <w:rPr>
          <w:rFonts w:eastAsia="黑体"/>
          <w:b w:val="0"/>
          <w:color w:val="auto"/>
          <w:sz w:val="24"/>
          <w:szCs w:val="24"/>
        </w:rPr>
        <w:t xml:space="preserve">  养护</w:t>
      </w:r>
      <w:bookmarkEnd w:id="54"/>
    </w:p>
    <w:p>
      <w:pPr>
        <w:pStyle w:val="48"/>
        <w:numPr>
          <w:ilvl w:val="0"/>
          <w:numId w:val="29"/>
        </w:numPr>
        <w:rPr>
          <w:color w:val="auto"/>
          <w:szCs w:val="24"/>
        </w:rPr>
      </w:pPr>
      <w:r>
        <w:rPr>
          <w:color w:val="auto"/>
        </w:rPr>
        <w:t>洒水养护时，养护环境温度不得低于5</w:t>
      </w:r>
      <w:r>
        <w:rPr>
          <w:rFonts w:hint="eastAsia" w:ascii="宋体" w:hAnsi="宋体" w:cs="宋体"/>
          <w:color w:val="auto"/>
        </w:rPr>
        <w:t>℃</w:t>
      </w:r>
      <w:r>
        <w:rPr>
          <w:color w:val="auto"/>
        </w:rPr>
        <w:t>。</w:t>
      </w:r>
    </w:p>
    <w:p>
      <w:pPr>
        <w:pStyle w:val="48"/>
        <w:numPr>
          <w:ilvl w:val="0"/>
          <w:numId w:val="29"/>
        </w:numPr>
        <w:rPr>
          <w:color w:val="auto"/>
        </w:rPr>
      </w:pPr>
      <w:r>
        <w:rPr>
          <w:color w:val="auto"/>
        </w:rPr>
        <w:t>湿喷混凝土应及时保湿养护，混凝土终凝后养护时间不得小于5天。</w:t>
      </w:r>
    </w:p>
    <w:p>
      <w:pPr>
        <w:pStyle w:val="48"/>
        <w:numPr>
          <w:ilvl w:val="0"/>
          <w:numId w:val="29"/>
        </w:numPr>
        <w:rPr>
          <w:color w:val="auto"/>
        </w:rPr>
      </w:pPr>
      <w:r>
        <w:rPr>
          <w:color w:val="auto"/>
        </w:rPr>
        <w:t>湿喷混凝土在相对湿度达到95%以上的作业区域内可不进行养护。</w:t>
      </w:r>
    </w:p>
    <w:p>
      <w:pPr>
        <w:pStyle w:val="48"/>
        <w:numPr>
          <w:ilvl w:val="0"/>
          <w:numId w:val="29"/>
        </w:numPr>
        <w:ind w:left="0" w:firstLine="0"/>
        <w:rPr>
          <w:color w:val="auto"/>
        </w:rPr>
      </w:pPr>
      <w:r>
        <w:rPr>
          <w:color w:val="auto"/>
        </w:rPr>
        <w:t>冬期施工期间，混凝土强度未达到6MPa之前不得受冻；且用普通硅酸盐水泥制备的湿喷混凝土强度不得低于设计强度的40%。</w:t>
      </w:r>
    </w:p>
    <w:p>
      <w:pPr>
        <w:keepNext/>
        <w:keepLines/>
        <w:spacing w:before="600" w:after="600" w:line="400" w:lineRule="exact"/>
        <w:jc w:val="center"/>
        <w:outlineLvl w:val="0"/>
        <w:rPr>
          <w:rFonts w:eastAsia="黑体"/>
          <w:b/>
          <w:color w:val="auto"/>
          <w:sz w:val="32"/>
        </w:rPr>
      </w:pPr>
      <w:r>
        <w:rPr>
          <w:color w:val="auto"/>
        </w:rPr>
        <w:br w:type="page"/>
      </w:r>
      <w:bookmarkStart w:id="55" w:name="_Toc529969566"/>
      <w:bookmarkStart w:id="56" w:name="_Toc1658253"/>
      <w:bookmarkStart w:id="57" w:name="_Toc529969572"/>
      <w:bookmarkStart w:id="58" w:name="_Toc534722414"/>
      <w:bookmarkStart w:id="59" w:name="_Hlk535565814"/>
      <w:bookmarkStart w:id="60" w:name="_Toc483665892"/>
      <w:r>
        <w:rPr>
          <w:rFonts w:eastAsia="黑体"/>
          <w:color w:val="auto"/>
          <w:sz w:val="32"/>
        </w:rPr>
        <w:t>8 安全</w:t>
      </w:r>
      <w:bookmarkEnd w:id="55"/>
      <w:r>
        <w:rPr>
          <w:rFonts w:eastAsia="黑体"/>
          <w:color w:val="auto"/>
          <w:sz w:val="32"/>
        </w:rPr>
        <w:t>环保措施</w:t>
      </w:r>
      <w:bookmarkEnd w:id="56"/>
    </w:p>
    <w:p>
      <w:pPr>
        <w:pStyle w:val="3"/>
        <w:keepNext/>
        <w:keepLines/>
        <w:spacing w:before="360" w:beforeLines="0" w:after="360" w:afterLines="0" w:line="400" w:lineRule="atLeast"/>
        <w:rPr>
          <w:rFonts w:eastAsia="黑体"/>
          <w:b w:val="0"/>
          <w:color w:val="auto"/>
          <w:sz w:val="24"/>
          <w:szCs w:val="24"/>
        </w:rPr>
      </w:pPr>
      <w:bookmarkStart w:id="61" w:name="_Toc529969567"/>
      <w:bookmarkStart w:id="62" w:name="_Toc1658254"/>
      <w:r>
        <w:rPr>
          <w:rFonts w:eastAsia="黑体"/>
          <w:b w:val="0"/>
          <w:color w:val="auto"/>
          <w:sz w:val="24"/>
          <w:szCs w:val="24"/>
        </w:rPr>
        <w:t xml:space="preserve">8.1  </w:t>
      </w:r>
      <w:bookmarkEnd w:id="61"/>
      <w:r>
        <w:rPr>
          <w:rFonts w:eastAsia="黑体"/>
          <w:b w:val="0"/>
          <w:color w:val="auto"/>
          <w:sz w:val="24"/>
          <w:szCs w:val="24"/>
        </w:rPr>
        <w:t>安全技术</w:t>
      </w:r>
      <w:bookmarkEnd w:id="62"/>
    </w:p>
    <w:p>
      <w:pPr>
        <w:pStyle w:val="48"/>
        <w:numPr>
          <w:ilvl w:val="0"/>
          <w:numId w:val="30"/>
        </w:numPr>
        <w:ind w:left="0" w:firstLine="0"/>
        <w:rPr>
          <w:color w:val="auto"/>
        </w:rPr>
      </w:pPr>
      <w:r>
        <w:rPr>
          <w:rFonts w:hint="eastAsia"/>
          <w:color w:val="auto"/>
        </w:rPr>
        <w:t>湿喷混凝土</w:t>
      </w:r>
      <w:r>
        <w:rPr>
          <w:color w:val="auto"/>
        </w:rPr>
        <w:t>施工现场临时用电应采用三级配电二级保护的方式，配线必须采用绝缘导线或电缆。</w:t>
      </w:r>
    </w:p>
    <w:p>
      <w:pPr>
        <w:pStyle w:val="48"/>
        <w:numPr>
          <w:ilvl w:val="0"/>
          <w:numId w:val="30"/>
        </w:numPr>
        <w:ind w:left="0" w:firstLine="0"/>
        <w:rPr>
          <w:color w:val="auto"/>
        </w:rPr>
      </w:pPr>
      <w:r>
        <w:rPr>
          <w:color w:val="auto"/>
        </w:rPr>
        <w:t>湿喷混凝土施工场地应平整坚实，无设备倾覆风险，工作面应有足够的照明、通风条件。</w:t>
      </w:r>
    </w:p>
    <w:p>
      <w:pPr>
        <w:pStyle w:val="48"/>
        <w:numPr>
          <w:ilvl w:val="0"/>
          <w:numId w:val="30"/>
        </w:numPr>
        <w:ind w:left="0" w:firstLine="0"/>
        <w:rPr>
          <w:color w:val="auto"/>
        </w:rPr>
      </w:pPr>
      <w:r>
        <w:rPr>
          <w:color w:val="auto"/>
        </w:rPr>
        <w:t>瓦斯隧道施工期间应实施连续通风，防止瓦斯积聚，高瓦斯区和瓦斯突出区必须使用防爆型电器设备和作业机械。</w:t>
      </w:r>
    </w:p>
    <w:p>
      <w:pPr>
        <w:pStyle w:val="48"/>
        <w:numPr>
          <w:ilvl w:val="0"/>
          <w:numId w:val="30"/>
        </w:numPr>
        <w:ind w:left="0" w:firstLine="0"/>
        <w:rPr>
          <w:b/>
          <w:color w:val="auto"/>
        </w:rPr>
      </w:pPr>
      <w:r>
        <w:rPr>
          <w:color w:val="auto"/>
        </w:rPr>
        <w:t>湿喷混凝土施工前，应确认作业区内围岩、边仰坡等稳定，无落石坍塌风险，保证施工安全。</w:t>
      </w:r>
    </w:p>
    <w:p>
      <w:pPr>
        <w:pStyle w:val="48"/>
        <w:numPr>
          <w:ilvl w:val="0"/>
          <w:numId w:val="30"/>
        </w:numPr>
        <w:ind w:left="0" w:firstLine="0"/>
        <w:rPr>
          <w:color w:val="auto"/>
        </w:rPr>
      </w:pPr>
      <w:r>
        <w:rPr>
          <w:color w:val="auto"/>
        </w:rPr>
        <w:t>根据湿喷混凝土的喷射范围划定出喷射区，</w:t>
      </w:r>
      <w:r>
        <w:rPr>
          <w:rFonts w:hint="eastAsia"/>
          <w:color w:val="auto"/>
        </w:rPr>
        <w:t>除操作人员外</w:t>
      </w:r>
      <w:r>
        <w:rPr>
          <w:color w:val="auto"/>
        </w:rPr>
        <w:t>喷射区内严禁有人</w:t>
      </w:r>
      <w:r>
        <w:rPr>
          <w:rFonts w:hint="eastAsia"/>
          <w:color w:val="auto"/>
        </w:rPr>
        <w:t>，且</w:t>
      </w:r>
      <w:r>
        <w:rPr>
          <w:color w:val="auto"/>
        </w:rPr>
        <w:t>操作人员必须佩戴好相关安全防护用具。</w:t>
      </w:r>
    </w:p>
    <w:p>
      <w:pPr>
        <w:pStyle w:val="48"/>
        <w:numPr>
          <w:ilvl w:val="0"/>
          <w:numId w:val="30"/>
        </w:numPr>
        <w:ind w:left="0" w:firstLine="0"/>
        <w:rPr>
          <w:color w:val="auto"/>
        </w:rPr>
      </w:pPr>
      <w:r>
        <w:rPr>
          <w:rFonts w:hint="eastAsia"/>
          <w:color w:val="auto"/>
        </w:rPr>
        <w:t>湿喷混凝土操作</w:t>
      </w:r>
      <w:r>
        <w:rPr>
          <w:color w:val="auto"/>
        </w:rPr>
        <w:t>之前，</w:t>
      </w:r>
      <w:r>
        <w:rPr>
          <w:rFonts w:hint="eastAsia"/>
          <w:color w:val="auto"/>
        </w:rPr>
        <w:t>应</w:t>
      </w:r>
      <w:r>
        <w:rPr>
          <w:color w:val="auto"/>
        </w:rPr>
        <w:t>检查</w:t>
      </w:r>
      <w:r>
        <w:rPr>
          <w:rFonts w:hint="eastAsia"/>
          <w:color w:val="auto"/>
        </w:rPr>
        <w:t>设备</w:t>
      </w:r>
      <w:r>
        <w:rPr>
          <w:color w:val="auto"/>
        </w:rPr>
        <w:t>安全装置，发动机油位，轮胎状况和气压；电器系统、后视镜及所有可运动组件在设备动作前必须固定</w:t>
      </w:r>
      <w:r>
        <w:rPr>
          <w:rFonts w:hint="eastAsia"/>
          <w:color w:val="auto"/>
        </w:rPr>
        <w:t>；</w:t>
      </w:r>
      <w:r>
        <w:rPr>
          <w:color w:val="auto"/>
        </w:rPr>
        <w:t>喷射设备启动后，检查发动机油压、温度，制动系统压力，指示灯的工作情况。</w:t>
      </w:r>
    </w:p>
    <w:p>
      <w:pPr>
        <w:pStyle w:val="48"/>
        <w:numPr>
          <w:ilvl w:val="0"/>
          <w:numId w:val="30"/>
        </w:numPr>
        <w:ind w:left="0" w:firstLine="0"/>
        <w:rPr>
          <w:b/>
          <w:color w:val="auto"/>
        </w:rPr>
      </w:pPr>
      <w:r>
        <w:rPr>
          <w:color w:val="auto"/>
        </w:rPr>
        <w:t>湿喷混凝土施工中，应采取措施防止回弹物伤害操作人员，钢纤维喷射混凝土在搅拌操作、上料及处理回弹物时应防止扎伤。混凝土湿喷机的喂料筛网，不得任意打开，严禁将手或异物伸入喂料口。</w:t>
      </w:r>
    </w:p>
    <w:p>
      <w:pPr>
        <w:pStyle w:val="48"/>
        <w:numPr>
          <w:ilvl w:val="0"/>
          <w:numId w:val="30"/>
        </w:numPr>
        <w:ind w:left="0" w:firstLine="0"/>
        <w:rPr>
          <w:color w:val="auto"/>
        </w:rPr>
      </w:pPr>
      <w:r>
        <w:rPr>
          <w:color w:val="auto"/>
        </w:rPr>
        <w:t>喷射间隙，应关闭高压风，使喷嘴向下指向地面。</w:t>
      </w:r>
    </w:p>
    <w:p>
      <w:pPr>
        <w:pStyle w:val="48"/>
        <w:numPr>
          <w:ilvl w:val="0"/>
          <w:numId w:val="30"/>
        </w:numPr>
        <w:ind w:left="0" w:firstLine="0"/>
        <w:rPr>
          <w:color w:val="auto"/>
        </w:rPr>
      </w:pPr>
      <w:r>
        <w:rPr>
          <w:rFonts w:hint="eastAsia"/>
          <w:color w:val="auto"/>
          <w:szCs w:val="32"/>
        </w:rPr>
        <w:t>湿喷混凝土施工中当</w:t>
      </w:r>
      <w:r>
        <w:rPr>
          <w:color w:val="auto"/>
          <w:szCs w:val="32"/>
        </w:rPr>
        <w:t>输料软管发生堵塞时，应反泵排空，再清理堵塞物</w:t>
      </w:r>
      <w:r>
        <w:rPr>
          <w:rFonts w:hint="eastAsia"/>
          <w:color w:val="auto"/>
          <w:szCs w:val="32"/>
        </w:rPr>
        <w:t>；</w:t>
      </w:r>
      <w:r>
        <w:rPr>
          <w:color w:val="auto"/>
        </w:rPr>
        <w:t>当发生管路堵塞或爆裂时，应依次停止混凝土、速凝剂、压缩空气的输送，喷头应由专人看护。</w:t>
      </w:r>
    </w:p>
    <w:p>
      <w:pPr>
        <w:pStyle w:val="48"/>
        <w:numPr>
          <w:ilvl w:val="0"/>
          <w:numId w:val="30"/>
        </w:numPr>
        <w:ind w:left="0" w:firstLine="0"/>
        <w:rPr>
          <w:b/>
          <w:color w:val="auto"/>
        </w:rPr>
      </w:pPr>
      <w:r>
        <w:rPr>
          <w:color w:val="auto"/>
        </w:rPr>
        <w:t>发现支护体系变形、开裂等险情时，应采取补救措施</w:t>
      </w:r>
      <w:r>
        <w:rPr>
          <w:rFonts w:hint="eastAsia"/>
          <w:color w:val="auto"/>
        </w:rPr>
        <w:t>；</w:t>
      </w:r>
      <w:r>
        <w:rPr>
          <w:color w:val="auto"/>
        </w:rPr>
        <w:t>当险情危急时，应将人员撤出危险区。</w:t>
      </w:r>
    </w:p>
    <w:p>
      <w:pPr>
        <w:pStyle w:val="48"/>
        <w:numPr>
          <w:ilvl w:val="0"/>
          <w:numId w:val="30"/>
        </w:numPr>
        <w:ind w:left="0" w:firstLine="0"/>
        <w:rPr>
          <w:color w:val="auto"/>
        </w:rPr>
      </w:pPr>
      <w:r>
        <w:rPr>
          <w:color w:val="auto"/>
        </w:rPr>
        <w:t>工作完毕应先停止供料，待机器中余料喷完后，用高压风吹净喷射管路、速凝剂管路后关闭高压风，拆卸机件清洗。</w:t>
      </w:r>
    </w:p>
    <w:p>
      <w:pPr>
        <w:pStyle w:val="48"/>
        <w:numPr>
          <w:ilvl w:val="0"/>
          <w:numId w:val="30"/>
        </w:numPr>
        <w:ind w:left="0" w:firstLine="0"/>
        <w:rPr>
          <w:color w:val="auto"/>
        </w:rPr>
      </w:pPr>
      <w:r>
        <w:rPr>
          <w:color w:val="auto"/>
        </w:rPr>
        <w:t>湿喷作业后，应对设备进行日常维护，确保下次使用时机器处于完好状态。</w:t>
      </w:r>
    </w:p>
    <w:p>
      <w:pPr>
        <w:widowControl/>
        <w:spacing w:before="360" w:after="360" w:line="400" w:lineRule="exact"/>
        <w:jc w:val="center"/>
        <w:outlineLvl w:val="1"/>
        <w:rPr>
          <w:color w:val="auto"/>
        </w:rPr>
      </w:pPr>
      <w:bookmarkStart w:id="63" w:name="_Toc529969568"/>
      <w:bookmarkStart w:id="64" w:name="_Toc1658255"/>
      <w:r>
        <w:rPr>
          <w:rFonts w:eastAsia="黑体"/>
          <w:color w:val="auto"/>
          <w:szCs w:val="24"/>
        </w:rPr>
        <w:t xml:space="preserve">8.2  </w:t>
      </w:r>
      <w:bookmarkEnd w:id="63"/>
      <w:r>
        <w:rPr>
          <w:rFonts w:eastAsia="黑体"/>
          <w:color w:val="auto"/>
          <w:szCs w:val="24"/>
        </w:rPr>
        <w:t>环保要求</w:t>
      </w:r>
      <w:bookmarkEnd w:id="64"/>
    </w:p>
    <w:p>
      <w:pPr>
        <w:pStyle w:val="48"/>
        <w:numPr>
          <w:ilvl w:val="0"/>
          <w:numId w:val="31"/>
        </w:numPr>
        <w:ind w:left="0" w:firstLine="0"/>
        <w:rPr>
          <w:color w:val="auto"/>
        </w:rPr>
      </w:pPr>
      <w:r>
        <w:rPr>
          <w:color w:val="auto"/>
        </w:rPr>
        <w:t>湿喷混凝土施工中，污染物排放应符合国家和地方现行排放标准。</w:t>
      </w:r>
    </w:p>
    <w:p>
      <w:pPr>
        <w:pStyle w:val="48"/>
        <w:numPr>
          <w:ilvl w:val="0"/>
          <w:numId w:val="31"/>
        </w:numPr>
        <w:ind w:left="0" w:firstLine="0"/>
        <w:rPr>
          <w:color w:val="auto"/>
        </w:rPr>
      </w:pPr>
      <w:r>
        <w:rPr>
          <w:color w:val="auto"/>
        </w:rPr>
        <w:t>混凝土易飞扬材料的运输、储存应使用密闭的车辆及容器，混凝土搅拌应采取除尘措施，</w:t>
      </w:r>
      <w:r>
        <w:rPr>
          <w:rFonts w:hint="eastAsia"/>
          <w:color w:val="auto"/>
        </w:rPr>
        <w:t>外加</w:t>
      </w:r>
      <w:r>
        <w:rPr>
          <w:color w:val="auto"/>
        </w:rPr>
        <w:t>剂的运输、储存使用专用容器，存放场地应做防渗处理。</w:t>
      </w:r>
    </w:p>
    <w:p>
      <w:pPr>
        <w:pStyle w:val="48"/>
        <w:numPr>
          <w:ilvl w:val="0"/>
          <w:numId w:val="31"/>
        </w:numPr>
        <w:ind w:left="0" w:firstLine="0"/>
        <w:rPr>
          <w:color w:val="auto"/>
        </w:rPr>
      </w:pPr>
      <w:r>
        <w:rPr>
          <w:color w:val="auto"/>
        </w:rPr>
        <w:t>湿喷混凝土宜采用环保新型材料</w:t>
      </w:r>
      <w:r>
        <w:rPr>
          <w:rFonts w:hint="eastAsia"/>
          <w:color w:val="auto"/>
        </w:rPr>
        <w:t>、新技术、新设备，</w:t>
      </w:r>
      <w:r>
        <w:rPr>
          <w:color w:val="auto"/>
        </w:rPr>
        <w:t>减少对环境的污染。</w:t>
      </w:r>
    </w:p>
    <w:p>
      <w:pPr>
        <w:pStyle w:val="48"/>
        <w:numPr>
          <w:ilvl w:val="0"/>
          <w:numId w:val="31"/>
        </w:numPr>
        <w:ind w:left="0" w:firstLine="0"/>
        <w:rPr>
          <w:color w:val="auto"/>
        </w:rPr>
      </w:pPr>
      <w:r>
        <w:rPr>
          <w:color w:val="auto"/>
        </w:rPr>
        <w:t>湿喷混凝土宜采用高节能、低噪音的喷射设备，作业环境应符合国家有关规定及现行标准。</w:t>
      </w:r>
    </w:p>
    <w:p>
      <w:pPr>
        <w:pStyle w:val="48"/>
        <w:numPr>
          <w:ilvl w:val="0"/>
          <w:numId w:val="31"/>
        </w:numPr>
        <w:ind w:left="0" w:firstLine="0"/>
        <w:rPr>
          <w:color w:val="auto"/>
        </w:rPr>
      </w:pPr>
      <w:r>
        <w:rPr>
          <w:color w:val="auto"/>
        </w:rPr>
        <w:t>湿喷混凝土施工过程中，应确保施工作业面的通风效率，全断面施工时不应小于0.15m/s，台阶法或分部施工的坑道中不应小于0.25m/s，并不大于6m/s。瓦斯隧道施工通风风速不宜小于1m/s。</w:t>
      </w:r>
    </w:p>
    <w:p>
      <w:pPr>
        <w:widowControl/>
        <w:spacing w:before="360" w:after="360" w:line="400" w:lineRule="exact"/>
        <w:jc w:val="center"/>
        <w:outlineLvl w:val="1"/>
        <w:rPr>
          <w:rFonts w:eastAsia="黑体"/>
          <w:color w:val="auto"/>
          <w:szCs w:val="24"/>
        </w:rPr>
      </w:pPr>
      <w:bookmarkStart w:id="65" w:name="_Toc529969569"/>
      <w:bookmarkStart w:id="66" w:name="_Toc1658256"/>
      <w:r>
        <w:rPr>
          <w:rFonts w:eastAsia="黑体"/>
          <w:color w:val="auto"/>
          <w:szCs w:val="24"/>
        </w:rPr>
        <w:t xml:space="preserve">8.3  </w:t>
      </w:r>
      <w:bookmarkEnd w:id="65"/>
      <w:r>
        <w:rPr>
          <w:rFonts w:hint="eastAsia" w:eastAsia="黑体"/>
          <w:color w:val="auto"/>
          <w:szCs w:val="24"/>
        </w:rPr>
        <w:t>减少</w:t>
      </w:r>
      <w:r>
        <w:rPr>
          <w:rFonts w:eastAsia="黑体"/>
          <w:color w:val="auto"/>
          <w:szCs w:val="24"/>
        </w:rPr>
        <w:t>湿喷混凝土回弹措施</w:t>
      </w:r>
      <w:bookmarkEnd w:id="66"/>
    </w:p>
    <w:p>
      <w:pPr>
        <w:pStyle w:val="48"/>
        <w:numPr>
          <w:ilvl w:val="0"/>
          <w:numId w:val="32"/>
        </w:numPr>
        <w:ind w:left="0" w:firstLine="0"/>
        <w:rPr>
          <w:color w:val="auto"/>
        </w:rPr>
      </w:pPr>
      <w:r>
        <w:rPr>
          <w:color w:val="auto"/>
        </w:rPr>
        <w:t>根据设备类型，加强配合比设计和选择，积极开展湿喷混凝土施工工艺试验，确保湿喷混凝土配合比与设备相适应，实现最优组合。</w:t>
      </w:r>
    </w:p>
    <w:p>
      <w:pPr>
        <w:pStyle w:val="48"/>
        <w:numPr>
          <w:ilvl w:val="0"/>
          <w:numId w:val="32"/>
        </w:numPr>
        <w:ind w:left="0" w:firstLine="0"/>
        <w:rPr>
          <w:rFonts w:eastAsiaTheme="minorEastAsia"/>
          <w:color w:val="auto"/>
        </w:rPr>
      </w:pPr>
      <w:r>
        <w:rPr>
          <w:rFonts w:eastAsiaTheme="minorEastAsia"/>
          <w:color w:val="auto"/>
        </w:rPr>
        <w:t>混凝土配合比选择合适的外加剂、掺入适量的外掺料以改善混凝土的和易性。</w:t>
      </w:r>
    </w:p>
    <w:p>
      <w:pPr>
        <w:pStyle w:val="48"/>
        <w:numPr>
          <w:ilvl w:val="0"/>
          <w:numId w:val="32"/>
        </w:numPr>
        <w:ind w:left="0" w:firstLine="0"/>
        <w:rPr>
          <w:rFonts w:eastAsiaTheme="minorEastAsia"/>
          <w:color w:val="auto"/>
        </w:rPr>
      </w:pPr>
      <w:r>
        <w:rPr>
          <w:rFonts w:eastAsiaTheme="minorEastAsia"/>
          <w:color w:val="auto"/>
        </w:rPr>
        <w:t>喷射角度尽量垂直于受喷面，喷射距离控制在</w:t>
      </w:r>
      <w:r>
        <w:rPr>
          <w:rFonts w:hint="eastAsia" w:eastAsiaTheme="minorEastAsia"/>
          <w:color w:val="auto"/>
        </w:rPr>
        <w:t>1.0</w:t>
      </w:r>
      <w:r>
        <w:rPr>
          <w:rFonts w:eastAsiaTheme="minorEastAsia"/>
          <w:color w:val="auto"/>
        </w:rPr>
        <w:t>m～</w:t>
      </w:r>
      <w:r>
        <w:rPr>
          <w:rFonts w:hint="eastAsia" w:eastAsiaTheme="minorEastAsia"/>
          <w:color w:val="auto"/>
        </w:rPr>
        <w:t>2.0</w:t>
      </w:r>
      <w:r>
        <w:rPr>
          <w:rFonts w:eastAsiaTheme="minorEastAsia"/>
          <w:color w:val="auto"/>
        </w:rPr>
        <w:t>m。</w:t>
      </w:r>
    </w:p>
    <w:p>
      <w:pPr>
        <w:pStyle w:val="48"/>
        <w:numPr>
          <w:ilvl w:val="0"/>
          <w:numId w:val="32"/>
        </w:numPr>
        <w:ind w:left="0" w:firstLine="0"/>
        <w:rPr>
          <w:rFonts w:eastAsiaTheme="minorEastAsia"/>
          <w:color w:val="auto"/>
        </w:rPr>
      </w:pPr>
      <w:r>
        <w:rPr>
          <w:rFonts w:eastAsiaTheme="minorEastAsia"/>
          <w:color w:val="auto"/>
        </w:rPr>
        <w:t>根据湿喷混凝土设备性能参数及环境条件，及时调整喷射风压、速凝剂掺量、喷嘴至受喷面的距离，按照采用“分段、分片、分层”的方式组织施工。</w:t>
      </w:r>
    </w:p>
    <w:p>
      <w:pPr>
        <w:pStyle w:val="48"/>
        <w:numPr>
          <w:ilvl w:val="0"/>
          <w:numId w:val="32"/>
        </w:numPr>
        <w:ind w:left="0" w:firstLine="0"/>
        <w:rPr>
          <w:rFonts w:eastAsia="黑体"/>
          <w:color w:val="auto"/>
        </w:rPr>
      </w:pPr>
      <w:r>
        <w:rPr>
          <w:rFonts w:eastAsiaTheme="minorEastAsia"/>
          <w:color w:val="auto"/>
        </w:rPr>
        <w:t>定期收集湿喷混凝土实耗、回弹数量并进行分析对比，制定</w:t>
      </w:r>
      <w:r>
        <w:rPr>
          <w:rFonts w:hint="eastAsia" w:eastAsiaTheme="minorEastAsia"/>
          <w:color w:val="auto"/>
        </w:rPr>
        <w:t>相</w:t>
      </w:r>
      <w:r>
        <w:rPr>
          <w:rFonts w:eastAsiaTheme="minorEastAsia"/>
          <w:color w:val="auto"/>
        </w:rPr>
        <w:t>应的控制措施</w:t>
      </w:r>
      <w:r>
        <w:rPr>
          <w:rFonts w:hint="eastAsia" w:eastAsiaTheme="minorEastAsia"/>
          <w:color w:val="auto"/>
        </w:rPr>
        <w:t>。</w:t>
      </w:r>
    </w:p>
    <w:p>
      <w:pPr>
        <w:widowControl/>
        <w:spacing w:line="240" w:lineRule="auto"/>
        <w:jc w:val="left"/>
        <w:rPr>
          <w:rFonts w:eastAsia="黑体"/>
          <w:color w:val="auto"/>
          <w:sz w:val="32"/>
        </w:rPr>
      </w:pPr>
      <w:r>
        <w:rPr>
          <w:rFonts w:eastAsia="黑体"/>
          <w:color w:val="auto"/>
          <w:sz w:val="32"/>
        </w:rPr>
        <w:br w:type="page"/>
      </w:r>
    </w:p>
    <w:p>
      <w:pPr>
        <w:keepNext/>
        <w:keepLines/>
        <w:adjustRightInd w:val="0"/>
        <w:snapToGrid w:val="0"/>
        <w:spacing w:before="600" w:after="600" w:line="240" w:lineRule="auto"/>
        <w:jc w:val="center"/>
        <w:outlineLvl w:val="0"/>
        <w:rPr>
          <w:rFonts w:eastAsia="黑体"/>
          <w:b/>
          <w:color w:val="auto"/>
          <w:sz w:val="32"/>
        </w:rPr>
      </w:pPr>
      <w:bookmarkStart w:id="67" w:name="_Toc1658257"/>
      <w:r>
        <w:rPr>
          <w:rFonts w:eastAsia="黑体"/>
          <w:color w:val="auto"/>
          <w:sz w:val="32"/>
        </w:rPr>
        <w:t>9  质量检查</w:t>
      </w:r>
      <w:bookmarkEnd w:id="57"/>
      <w:bookmarkEnd w:id="58"/>
      <w:bookmarkEnd w:id="67"/>
    </w:p>
    <w:p>
      <w:pPr>
        <w:pStyle w:val="3"/>
        <w:keepNext/>
        <w:keepLines/>
        <w:spacing w:before="360" w:beforeLines="0" w:after="360" w:afterLines="0" w:line="400" w:lineRule="atLeast"/>
        <w:rPr>
          <w:rFonts w:eastAsia="黑体"/>
          <w:b w:val="0"/>
          <w:color w:val="auto"/>
          <w:sz w:val="24"/>
          <w:szCs w:val="24"/>
        </w:rPr>
      </w:pPr>
      <w:bookmarkStart w:id="68" w:name="_Toc534722415"/>
      <w:bookmarkStart w:id="69" w:name="_Toc529969573"/>
      <w:bookmarkStart w:id="70" w:name="_Toc1658258"/>
      <w:r>
        <w:rPr>
          <w:rFonts w:eastAsia="黑体"/>
          <w:b w:val="0"/>
          <w:color w:val="auto"/>
          <w:sz w:val="24"/>
          <w:szCs w:val="24"/>
        </w:rPr>
        <w:t>9.1  一般规定</w:t>
      </w:r>
      <w:bookmarkEnd w:id="68"/>
      <w:bookmarkEnd w:id="69"/>
      <w:bookmarkEnd w:id="70"/>
    </w:p>
    <w:p>
      <w:pPr>
        <w:pStyle w:val="48"/>
        <w:numPr>
          <w:ilvl w:val="0"/>
          <w:numId w:val="33"/>
        </w:numPr>
        <w:ind w:left="0" w:firstLine="0"/>
        <w:rPr>
          <w:color w:val="auto"/>
        </w:rPr>
      </w:pPr>
      <w:r>
        <w:rPr>
          <w:rFonts w:hint="eastAsia"/>
          <w:color w:val="auto"/>
        </w:rPr>
        <w:t>工程质量控制资料应齐全完整。</w:t>
      </w:r>
    </w:p>
    <w:p>
      <w:pPr>
        <w:pStyle w:val="48"/>
        <w:numPr>
          <w:ilvl w:val="0"/>
          <w:numId w:val="33"/>
        </w:numPr>
        <w:ind w:left="0" w:firstLine="0"/>
        <w:rPr>
          <w:color w:val="auto"/>
        </w:rPr>
      </w:pPr>
      <w:r>
        <w:rPr>
          <w:rFonts w:hint="eastAsia"/>
          <w:color w:val="auto"/>
        </w:rPr>
        <w:t>湿喷混凝土配合比、原材料质量检验应符合本规程的规定及相关规范要求。</w:t>
      </w:r>
    </w:p>
    <w:p>
      <w:pPr>
        <w:pStyle w:val="48"/>
        <w:numPr>
          <w:ilvl w:val="0"/>
          <w:numId w:val="33"/>
        </w:numPr>
        <w:ind w:left="0" w:firstLine="0"/>
        <w:rPr>
          <w:color w:val="auto"/>
        </w:rPr>
      </w:pPr>
      <w:r>
        <w:rPr>
          <w:rFonts w:hint="eastAsia"/>
          <w:color w:val="auto"/>
        </w:rPr>
        <w:t>湿喷混凝土钢架间距、密实性、厚度等检测方法宜采用无损检测，隧道内喷射混凝土结构，应进行净空测量。</w:t>
      </w:r>
    </w:p>
    <w:p>
      <w:pPr>
        <w:widowControl/>
        <w:spacing w:line="240" w:lineRule="auto"/>
        <w:jc w:val="left"/>
        <w:rPr>
          <w:color w:val="auto"/>
        </w:rPr>
      </w:pPr>
      <w:r>
        <w:rPr>
          <w:color w:val="auto"/>
        </w:rPr>
        <w:br w:type="page"/>
      </w:r>
    </w:p>
    <w:p>
      <w:pPr>
        <w:pStyle w:val="3"/>
        <w:keepNext/>
        <w:keepLines/>
        <w:spacing w:before="360" w:beforeLines="0" w:after="360" w:afterLines="0" w:line="400" w:lineRule="atLeast"/>
        <w:rPr>
          <w:rFonts w:eastAsia="黑体"/>
          <w:b w:val="0"/>
          <w:color w:val="auto"/>
          <w:sz w:val="24"/>
          <w:szCs w:val="24"/>
        </w:rPr>
      </w:pPr>
      <w:bookmarkStart w:id="71" w:name="_Toc529969575"/>
      <w:bookmarkStart w:id="72" w:name="_Toc1658259"/>
      <w:bookmarkStart w:id="73" w:name="_Toc534722417"/>
      <w:r>
        <w:rPr>
          <w:rFonts w:eastAsia="黑体"/>
          <w:b w:val="0"/>
          <w:color w:val="auto"/>
          <w:sz w:val="24"/>
          <w:szCs w:val="24"/>
        </w:rPr>
        <w:t>9.2  质量检</w:t>
      </w:r>
      <w:r>
        <w:rPr>
          <w:rFonts w:hint="eastAsia" w:eastAsia="黑体"/>
          <w:b w:val="0"/>
          <w:color w:val="auto"/>
          <w:sz w:val="24"/>
          <w:szCs w:val="24"/>
        </w:rPr>
        <w:t>查</w:t>
      </w:r>
      <w:r>
        <w:rPr>
          <w:rFonts w:eastAsia="黑体"/>
          <w:b w:val="0"/>
          <w:color w:val="auto"/>
          <w:sz w:val="24"/>
          <w:szCs w:val="24"/>
        </w:rPr>
        <w:t>流程和方法</w:t>
      </w:r>
      <w:bookmarkEnd w:id="71"/>
      <w:bookmarkEnd w:id="72"/>
      <w:bookmarkEnd w:id="73"/>
    </w:p>
    <w:p>
      <w:pPr>
        <w:pStyle w:val="48"/>
        <w:numPr>
          <w:ilvl w:val="0"/>
          <w:numId w:val="34"/>
        </w:numPr>
        <w:ind w:left="0" w:firstLine="0"/>
        <w:rPr>
          <w:color w:val="auto"/>
        </w:rPr>
      </w:pPr>
      <w:r>
        <w:rPr>
          <w:color w:val="auto"/>
        </w:rPr>
        <w:t>检</w:t>
      </w:r>
      <w:r>
        <w:rPr>
          <w:rFonts w:hint="eastAsia"/>
          <w:color w:val="auto"/>
        </w:rPr>
        <w:t>查</w:t>
      </w:r>
      <w:r>
        <w:rPr>
          <w:color w:val="auto"/>
        </w:rPr>
        <w:t>工作流程图见9.2.1。</w:t>
      </w:r>
    </w:p>
    <w:p>
      <w:pPr>
        <w:rPr>
          <w:color w:val="auto"/>
        </w:rPr>
      </w:pPr>
      <w:r>
        <w:rPr>
          <w:color w:val="auto"/>
        </w:rPr>
        <w:object>
          <v:shape id="_x0000_i1043" o:spt="75" type="#_x0000_t75" style="height:424.85pt;width:385.65pt;" o:ole="t" filled="f" o:preferrelative="t" stroked="f" coordsize="21600,21600">
            <v:path/>
            <v:fill on="f" focussize="0,0"/>
            <v:stroke on="f" joinstyle="miter"/>
            <v:imagedata r:id="rId52" o:title=""/>
            <o:lock v:ext="edit" aspectratio="t"/>
            <w10:wrap type="none"/>
            <w10:anchorlock/>
          </v:shape>
          <o:OLEObject Type="Embed" ProgID="Visio.Drawing.11" ShapeID="_x0000_i1043" DrawAspect="Content" ObjectID="_1468075743" r:id="rId51">
            <o:LockedField>false</o:LockedField>
          </o:OLEObject>
        </w:object>
      </w:r>
    </w:p>
    <w:p>
      <w:pPr>
        <w:jc w:val="center"/>
        <w:rPr>
          <w:rFonts w:eastAsia="黑体"/>
          <w:bCs/>
          <w:color w:val="auto"/>
          <w:sz w:val="21"/>
        </w:rPr>
      </w:pPr>
      <w:r>
        <w:rPr>
          <w:rFonts w:eastAsia="黑体"/>
          <w:bCs/>
          <w:color w:val="auto"/>
          <w:sz w:val="21"/>
        </w:rPr>
        <w:t>图9.2.1-1湿喷混凝土质量检测工作流程图</w:t>
      </w:r>
    </w:p>
    <w:p>
      <w:pPr>
        <w:pStyle w:val="48"/>
        <w:numPr>
          <w:ilvl w:val="0"/>
          <w:numId w:val="34"/>
        </w:numPr>
        <w:ind w:left="0" w:firstLine="0"/>
        <w:rPr>
          <w:color w:val="auto"/>
          <w:szCs w:val="28"/>
        </w:rPr>
      </w:pPr>
      <w:bookmarkStart w:id="74" w:name="_Toc529969574"/>
      <w:bookmarkStart w:id="75" w:name="_Toc534722416"/>
      <w:r>
        <w:rPr>
          <w:color w:val="auto"/>
          <w:szCs w:val="28"/>
        </w:rPr>
        <w:t>隧道湿喷混凝土的无损检测应符合下列规定：</w:t>
      </w:r>
    </w:p>
    <w:p>
      <w:pPr>
        <w:ind w:firstLine="482" w:firstLineChars="200"/>
        <w:rPr>
          <w:color w:val="auto"/>
        </w:rPr>
      </w:pPr>
      <w:r>
        <w:rPr>
          <w:b/>
          <w:color w:val="auto"/>
        </w:rPr>
        <w:t xml:space="preserve">1  </w:t>
      </w:r>
      <w:r>
        <w:rPr>
          <w:color w:val="auto"/>
          <w:szCs w:val="24"/>
        </w:rPr>
        <w:t>检测前应收集设计参数和施工参数，对被检测体标识。在下道工序施工前，应出具雷达检测成果报告。</w:t>
      </w:r>
    </w:p>
    <w:p>
      <w:pPr>
        <w:ind w:firstLine="482" w:firstLineChars="200"/>
        <w:rPr>
          <w:color w:val="auto"/>
        </w:rPr>
      </w:pPr>
      <w:r>
        <w:rPr>
          <w:b/>
          <w:color w:val="auto"/>
        </w:rPr>
        <w:t xml:space="preserve">2  </w:t>
      </w:r>
      <w:r>
        <w:rPr>
          <w:color w:val="auto"/>
        </w:rPr>
        <w:t>检测仪器设备宜采用地质雷达仪、检测车。</w:t>
      </w:r>
    </w:p>
    <w:bookmarkEnd w:id="74"/>
    <w:bookmarkEnd w:id="75"/>
    <w:p>
      <w:pPr>
        <w:pStyle w:val="3"/>
        <w:keepNext/>
        <w:keepLines/>
        <w:spacing w:before="360" w:beforeLines="0" w:after="360" w:afterLines="0" w:line="400" w:lineRule="atLeast"/>
        <w:rPr>
          <w:rFonts w:eastAsia="黑体"/>
          <w:b w:val="0"/>
          <w:color w:val="auto"/>
          <w:sz w:val="24"/>
          <w:szCs w:val="24"/>
        </w:rPr>
      </w:pPr>
      <w:bookmarkStart w:id="76" w:name="_Toc1658260"/>
      <w:r>
        <w:rPr>
          <w:rFonts w:eastAsia="黑体"/>
          <w:b w:val="0"/>
          <w:color w:val="auto"/>
          <w:sz w:val="24"/>
          <w:szCs w:val="24"/>
        </w:rPr>
        <w:t>9.3  质量检</w:t>
      </w:r>
      <w:r>
        <w:rPr>
          <w:rFonts w:hint="eastAsia" w:eastAsia="黑体"/>
          <w:b w:val="0"/>
          <w:color w:val="auto"/>
          <w:sz w:val="24"/>
          <w:szCs w:val="24"/>
        </w:rPr>
        <w:t>查标准</w:t>
      </w:r>
      <w:bookmarkEnd w:id="76"/>
    </w:p>
    <w:p>
      <w:pPr>
        <w:pStyle w:val="48"/>
        <w:numPr>
          <w:ilvl w:val="0"/>
          <w:numId w:val="35"/>
        </w:numPr>
        <w:ind w:left="0" w:firstLine="0"/>
        <w:rPr>
          <w:color w:val="auto"/>
        </w:rPr>
      </w:pPr>
      <w:r>
        <w:rPr>
          <w:color w:val="auto"/>
        </w:rPr>
        <w:t>湿喷混凝土原材料要求符合本规程第4章节规定。</w:t>
      </w:r>
    </w:p>
    <w:p>
      <w:pPr>
        <w:pStyle w:val="48"/>
        <w:numPr>
          <w:ilvl w:val="0"/>
          <w:numId w:val="35"/>
        </w:numPr>
        <w:ind w:left="0" w:firstLine="0"/>
        <w:rPr>
          <w:color w:val="auto"/>
        </w:rPr>
      </w:pPr>
      <w:r>
        <w:rPr>
          <w:color w:val="auto"/>
        </w:rPr>
        <w:t>湿喷混凝土拌制前，应测定细集料、粗集料含水率，并根据测试结果及时调整施工配合比，确定拌合用水量。</w:t>
      </w:r>
    </w:p>
    <w:p>
      <w:pPr>
        <w:ind w:firstLine="480" w:firstLineChars="200"/>
        <w:rPr>
          <w:color w:val="auto"/>
        </w:rPr>
      </w:pPr>
      <w:r>
        <w:rPr>
          <w:color w:val="auto"/>
        </w:rPr>
        <w:t>检验数量：每工作班不应少于一次。雨天或含水率有显著变化时，应增加检测次数。</w:t>
      </w:r>
    </w:p>
    <w:p>
      <w:pPr>
        <w:ind w:firstLine="480" w:firstLineChars="200"/>
        <w:rPr>
          <w:color w:val="auto"/>
        </w:rPr>
      </w:pPr>
      <w:r>
        <w:rPr>
          <w:color w:val="auto"/>
        </w:rPr>
        <w:t>检验方法：含水率试验。</w:t>
      </w:r>
    </w:p>
    <w:p>
      <w:pPr>
        <w:pStyle w:val="48"/>
        <w:numPr>
          <w:ilvl w:val="0"/>
          <w:numId w:val="35"/>
        </w:numPr>
        <w:ind w:left="0" w:firstLine="0"/>
        <w:rPr>
          <w:color w:val="auto"/>
        </w:rPr>
      </w:pPr>
      <w:r>
        <w:rPr>
          <w:color w:val="auto"/>
        </w:rPr>
        <w:t>湿喷混凝土厚度应符合设计要求。</w:t>
      </w:r>
    </w:p>
    <w:p>
      <w:pPr>
        <w:ind w:firstLine="480" w:firstLineChars="200"/>
        <w:rPr>
          <w:color w:val="auto"/>
        </w:rPr>
      </w:pPr>
      <w:r>
        <w:rPr>
          <w:color w:val="auto"/>
        </w:rPr>
        <w:t>检验数量：每循环检测不少于3处。</w:t>
      </w:r>
    </w:p>
    <w:p>
      <w:pPr>
        <w:ind w:firstLine="480" w:firstLineChars="200"/>
        <w:rPr>
          <w:color w:val="auto"/>
        </w:rPr>
      </w:pPr>
      <w:r>
        <w:rPr>
          <w:color w:val="auto"/>
        </w:rPr>
        <w:t>检验方法：观察、尺量。</w:t>
      </w:r>
    </w:p>
    <w:p>
      <w:pPr>
        <w:pStyle w:val="48"/>
        <w:numPr>
          <w:ilvl w:val="0"/>
          <w:numId w:val="35"/>
        </w:numPr>
        <w:ind w:left="0" w:firstLine="0"/>
        <w:rPr>
          <w:color w:val="auto"/>
        </w:rPr>
      </w:pPr>
      <w:r>
        <w:rPr>
          <w:color w:val="auto"/>
        </w:rPr>
        <w:t>湿喷混凝土表面质量应符合设计要求。</w:t>
      </w:r>
    </w:p>
    <w:p>
      <w:pPr>
        <w:ind w:firstLine="480" w:firstLineChars="200"/>
        <w:rPr>
          <w:color w:val="auto"/>
        </w:rPr>
      </w:pPr>
      <w:r>
        <w:rPr>
          <w:color w:val="auto"/>
        </w:rPr>
        <w:t>检验数量：施工、监理单位全数检查。</w:t>
      </w:r>
    </w:p>
    <w:p>
      <w:pPr>
        <w:ind w:firstLine="480" w:firstLineChars="200"/>
        <w:rPr>
          <w:color w:val="auto"/>
          <w:szCs w:val="21"/>
        </w:rPr>
      </w:pPr>
      <w:r>
        <w:rPr>
          <w:color w:val="auto"/>
        </w:rPr>
        <w:t>检验方法：观察</w:t>
      </w:r>
      <w:r>
        <w:rPr>
          <w:color w:val="auto"/>
          <w:szCs w:val="21"/>
        </w:rPr>
        <w:t>。</w:t>
      </w:r>
    </w:p>
    <w:p>
      <w:pPr>
        <w:pStyle w:val="48"/>
        <w:numPr>
          <w:ilvl w:val="0"/>
          <w:numId w:val="35"/>
        </w:numPr>
        <w:ind w:left="0" w:firstLine="0"/>
        <w:rPr>
          <w:color w:val="auto"/>
        </w:rPr>
      </w:pPr>
      <w:r>
        <w:rPr>
          <w:color w:val="auto"/>
        </w:rPr>
        <w:t>湿喷混凝土早期强度应符合设计要求</w:t>
      </w:r>
    </w:p>
    <w:p>
      <w:pPr>
        <w:ind w:firstLine="480" w:firstLineChars="200"/>
        <w:rPr>
          <w:color w:val="auto"/>
        </w:rPr>
      </w:pPr>
      <w:r>
        <w:rPr>
          <w:color w:val="auto"/>
        </w:rPr>
        <w:t>检验数量：工艺性试验确认。</w:t>
      </w:r>
    </w:p>
    <w:p>
      <w:pPr>
        <w:ind w:firstLine="480" w:firstLineChars="200"/>
        <w:rPr>
          <w:color w:val="auto"/>
        </w:rPr>
      </w:pPr>
      <w:r>
        <w:rPr>
          <w:color w:val="auto"/>
        </w:rPr>
        <w:t>检验方法：射钉法，具体参照附录F进行检验；</w:t>
      </w:r>
    </w:p>
    <w:p>
      <w:pPr>
        <w:pStyle w:val="48"/>
        <w:numPr>
          <w:ilvl w:val="0"/>
          <w:numId w:val="35"/>
        </w:numPr>
        <w:ind w:left="0" w:firstLine="0"/>
        <w:rPr>
          <w:color w:val="auto"/>
        </w:rPr>
      </w:pPr>
      <w:r>
        <w:rPr>
          <w:color w:val="auto"/>
        </w:rPr>
        <w:t>湿喷混凝土拌和物的坍落度应符合设计配合比要求。</w:t>
      </w:r>
    </w:p>
    <w:p>
      <w:pPr>
        <w:ind w:firstLine="480" w:firstLineChars="200"/>
        <w:rPr>
          <w:color w:val="auto"/>
        </w:rPr>
      </w:pPr>
      <w:r>
        <w:rPr>
          <w:color w:val="auto"/>
        </w:rPr>
        <w:t>检验数量：施工单位每工作班不应少于一次。</w:t>
      </w:r>
    </w:p>
    <w:p>
      <w:pPr>
        <w:ind w:firstLine="480" w:firstLineChars="200"/>
        <w:rPr>
          <w:color w:val="auto"/>
        </w:rPr>
      </w:pPr>
      <w:r>
        <w:rPr>
          <w:color w:val="auto"/>
        </w:rPr>
        <w:t>检验方法：坍落度试验。</w:t>
      </w:r>
    </w:p>
    <w:p>
      <w:pPr>
        <w:pStyle w:val="48"/>
        <w:numPr>
          <w:ilvl w:val="0"/>
          <w:numId w:val="35"/>
        </w:numPr>
        <w:ind w:left="0" w:firstLine="0"/>
        <w:rPr>
          <w:color w:val="auto"/>
        </w:rPr>
      </w:pPr>
      <w:r>
        <w:rPr>
          <w:color w:val="auto"/>
        </w:rPr>
        <w:t>湿喷混凝土强度应符合设计要求。</w:t>
      </w:r>
    </w:p>
    <w:p>
      <w:pPr>
        <w:ind w:firstLine="480" w:firstLineChars="200"/>
        <w:rPr>
          <w:color w:val="auto"/>
        </w:rPr>
      </w:pPr>
      <w:r>
        <w:rPr>
          <w:color w:val="auto"/>
        </w:rPr>
        <w:t>检验数量：每20m检测一次</w:t>
      </w:r>
      <w:r>
        <w:rPr>
          <w:rFonts w:hint="eastAsia"/>
          <w:color w:val="auto"/>
        </w:rPr>
        <w:t>, 对</w:t>
      </w:r>
      <w:r>
        <w:rPr>
          <w:color w:val="auto"/>
        </w:rPr>
        <w:t>疑义处</w:t>
      </w:r>
      <w:r>
        <w:rPr>
          <w:rFonts w:hint="eastAsia"/>
          <w:color w:val="auto"/>
        </w:rPr>
        <w:t>取芯验证</w:t>
      </w:r>
      <w:r>
        <w:rPr>
          <w:color w:val="auto"/>
        </w:rPr>
        <w:t>。</w:t>
      </w:r>
    </w:p>
    <w:p>
      <w:pPr>
        <w:ind w:firstLine="480" w:firstLineChars="200"/>
        <w:rPr>
          <w:color w:val="auto"/>
        </w:rPr>
      </w:pPr>
      <w:r>
        <w:rPr>
          <w:color w:val="auto"/>
        </w:rPr>
        <w:t>检验方法：抗压强度、现场取芯法。</w:t>
      </w:r>
    </w:p>
    <w:p>
      <w:pPr>
        <w:pStyle w:val="48"/>
        <w:numPr>
          <w:ilvl w:val="0"/>
          <w:numId w:val="35"/>
        </w:numPr>
        <w:ind w:left="0" w:firstLine="0"/>
        <w:rPr>
          <w:color w:val="auto"/>
        </w:rPr>
      </w:pPr>
      <w:r>
        <w:rPr>
          <w:color w:val="auto"/>
        </w:rPr>
        <w:t>湿喷混凝土厚度和密实性应符合设计要求。</w:t>
      </w:r>
    </w:p>
    <w:p>
      <w:pPr>
        <w:ind w:firstLine="480" w:firstLineChars="200"/>
        <w:rPr>
          <w:color w:val="auto"/>
        </w:rPr>
      </w:pPr>
      <w:r>
        <w:rPr>
          <w:color w:val="auto"/>
        </w:rPr>
        <w:t>检验数量：雷达5条线检测，</w:t>
      </w:r>
      <w:r>
        <w:rPr>
          <w:rFonts w:hint="eastAsia"/>
          <w:color w:val="auto"/>
        </w:rPr>
        <w:t>对</w:t>
      </w:r>
      <w:r>
        <w:rPr>
          <w:color w:val="auto"/>
        </w:rPr>
        <w:t>疑义处凿孔验</w:t>
      </w:r>
      <w:r>
        <w:rPr>
          <w:rFonts w:hint="eastAsia"/>
          <w:color w:val="auto"/>
        </w:rPr>
        <w:t>证。</w:t>
      </w:r>
    </w:p>
    <w:p>
      <w:pPr>
        <w:ind w:firstLine="480" w:firstLineChars="200"/>
        <w:rPr>
          <w:color w:val="auto"/>
        </w:rPr>
      </w:pPr>
      <w:r>
        <w:rPr>
          <w:color w:val="auto"/>
        </w:rPr>
        <w:t>检验方法：雷达检测法、凿孔法。</w:t>
      </w:r>
    </w:p>
    <w:p>
      <w:pPr>
        <w:pStyle w:val="48"/>
        <w:numPr>
          <w:ilvl w:val="0"/>
          <w:numId w:val="35"/>
        </w:numPr>
        <w:ind w:left="0" w:firstLine="0"/>
        <w:rPr>
          <w:color w:val="auto"/>
        </w:rPr>
      </w:pPr>
      <w:r>
        <w:rPr>
          <w:color w:val="auto"/>
        </w:rPr>
        <w:t>湿喷混凝土结构净空应符合设计要求。</w:t>
      </w:r>
    </w:p>
    <w:p>
      <w:pPr>
        <w:ind w:firstLine="480" w:firstLineChars="200"/>
        <w:rPr>
          <w:color w:val="auto"/>
        </w:rPr>
      </w:pPr>
      <w:r>
        <w:rPr>
          <w:color w:val="auto"/>
        </w:rPr>
        <w:t>检验数量：3m～6m一个断面</w:t>
      </w:r>
    </w:p>
    <w:p>
      <w:pPr>
        <w:ind w:firstLine="480" w:firstLineChars="200"/>
        <w:rPr>
          <w:color w:val="auto"/>
        </w:rPr>
      </w:pPr>
      <w:r>
        <w:rPr>
          <w:color w:val="auto"/>
        </w:rPr>
        <w:t>检验方法：无棱镜断面测量。</w:t>
      </w:r>
    </w:p>
    <w:p>
      <w:pPr>
        <w:tabs>
          <w:tab w:val="left" w:pos="585"/>
          <w:tab w:val="left" w:pos="2702"/>
          <w:tab w:val="left" w:pos="2822"/>
          <w:tab w:val="left" w:pos="2928"/>
        </w:tabs>
        <w:spacing w:line="400" w:lineRule="exact"/>
        <w:jc w:val="center"/>
        <w:rPr>
          <w:color w:val="auto"/>
          <w:szCs w:val="21"/>
        </w:rPr>
      </w:pPr>
    </w:p>
    <w:p>
      <w:pPr>
        <w:widowControl/>
        <w:spacing w:line="240" w:lineRule="auto"/>
        <w:jc w:val="left"/>
        <w:rPr>
          <w:color w:val="auto"/>
          <w:szCs w:val="21"/>
        </w:rPr>
      </w:pPr>
      <w:r>
        <w:rPr>
          <w:color w:val="auto"/>
          <w:szCs w:val="21"/>
        </w:rPr>
        <w:br w:type="page"/>
      </w:r>
    </w:p>
    <w:p>
      <w:pPr>
        <w:tabs>
          <w:tab w:val="left" w:pos="585"/>
          <w:tab w:val="left" w:pos="2702"/>
          <w:tab w:val="left" w:pos="2822"/>
          <w:tab w:val="left" w:pos="2928"/>
        </w:tabs>
        <w:spacing w:line="400" w:lineRule="exact"/>
        <w:jc w:val="center"/>
        <w:rPr>
          <w:color w:val="auto"/>
          <w:sz w:val="21"/>
        </w:rPr>
      </w:pPr>
      <w:r>
        <w:rPr>
          <w:rFonts w:eastAsia="黑体"/>
          <w:bCs/>
          <w:color w:val="auto"/>
          <w:sz w:val="21"/>
          <w:szCs w:val="28"/>
        </w:rPr>
        <w:t>表9.</w:t>
      </w:r>
      <w:r>
        <w:rPr>
          <w:rFonts w:hint="eastAsia" w:eastAsia="黑体"/>
          <w:bCs/>
          <w:color w:val="auto"/>
          <w:sz w:val="21"/>
          <w:szCs w:val="28"/>
        </w:rPr>
        <w:t>3</w:t>
      </w:r>
      <w:r>
        <w:rPr>
          <w:rFonts w:eastAsia="黑体"/>
          <w:bCs/>
          <w:color w:val="auto"/>
          <w:sz w:val="21"/>
          <w:szCs w:val="28"/>
        </w:rPr>
        <w:t>-1铁路隧道湿喷混凝土施工质量检测</w:t>
      </w:r>
    </w:p>
    <w:bookmarkEnd w:id="59"/>
    <w:tbl>
      <w:tblPr>
        <w:tblStyle w:val="44"/>
        <w:tblW w:w="8095" w:type="dxa"/>
        <w:tblInd w:w="93" w:type="dxa"/>
        <w:tblLayout w:type="fixed"/>
        <w:tblCellMar>
          <w:top w:w="0" w:type="dxa"/>
          <w:left w:w="108" w:type="dxa"/>
          <w:bottom w:w="0" w:type="dxa"/>
          <w:right w:w="108" w:type="dxa"/>
        </w:tblCellMar>
      </w:tblPr>
      <w:tblGrid>
        <w:gridCol w:w="620"/>
        <w:gridCol w:w="620"/>
        <w:gridCol w:w="2260"/>
        <w:gridCol w:w="2780"/>
        <w:gridCol w:w="1815"/>
      </w:tblGrid>
      <w:tr>
        <w:tblPrEx>
          <w:tblLayout w:type="fixed"/>
          <w:tblCellMar>
            <w:top w:w="0" w:type="dxa"/>
            <w:left w:w="108" w:type="dxa"/>
            <w:bottom w:w="0" w:type="dxa"/>
            <w:right w:w="108" w:type="dxa"/>
          </w:tblCellMar>
        </w:tblPrEx>
        <w:trPr>
          <w:trHeight w:val="550" w:hRule="atLeast"/>
        </w:trPr>
        <w:tc>
          <w:tcPr>
            <w:tcW w:w="124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编号</w:t>
            </w:r>
          </w:p>
        </w:tc>
        <w:tc>
          <w:tcPr>
            <w:tcW w:w="2260" w:type="dxa"/>
            <w:tcBorders>
              <w:top w:val="single" w:color="auto" w:sz="4" w:space="0"/>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检测项目</w:t>
            </w:r>
          </w:p>
        </w:tc>
        <w:tc>
          <w:tcPr>
            <w:tcW w:w="2780" w:type="dxa"/>
            <w:tcBorders>
              <w:top w:val="single" w:color="auto" w:sz="4" w:space="0"/>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检测标准</w:t>
            </w:r>
          </w:p>
        </w:tc>
        <w:tc>
          <w:tcPr>
            <w:tcW w:w="1815" w:type="dxa"/>
            <w:tcBorders>
              <w:top w:val="single" w:color="auto" w:sz="4" w:space="0"/>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检测方法</w:t>
            </w:r>
          </w:p>
        </w:tc>
      </w:tr>
      <w:tr>
        <w:tblPrEx>
          <w:tblLayout w:type="fixed"/>
          <w:tblCellMar>
            <w:top w:w="0" w:type="dxa"/>
            <w:left w:w="108" w:type="dxa"/>
            <w:bottom w:w="0" w:type="dxa"/>
            <w:right w:w="108" w:type="dxa"/>
          </w:tblCellMar>
        </w:tblPrEx>
        <w:trPr>
          <w:trHeight w:val="360" w:hRule="atLeast"/>
        </w:trPr>
        <w:tc>
          <w:tcPr>
            <w:tcW w:w="620" w:type="dxa"/>
            <w:vMerge w:val="restart"/>
            <w:tcBorders>
              <w:top w:val="nil"/>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主控项目</w:t>
            </w: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1</w:t>
            </w:r>
          </w:p>
        </w:tc>
        <w:tc>
          <w:tcPr>
            <w:tcW w:w="2260" w:type="dxa"/>
            <w:tcBorders>
              <w:top w:val="single" w:color="auto" w:sz="4" w:space="0"/>
              <w:left w:val="single" w:color="auto" w:sz="4" w:space="0"/>
              <w:bottom w:val="single" w:color="auto" w:sz="4" w:space="0"/>
              <w:right w:val="single" w:color="000000" w:sz="4" w:space="0"/>
            </w:tcBorders>
            <w:vAlign w:val="center"/>
          </w:tcPr>
          <w:p>
            <w:pPr>
              <w:widowControl/>
              <w:spacing w:line="240" w:lineRule="auto"/>
              <w:jc w:val="center"/>
              <w:rPr>
                <w:color w:val="auto"/>
                <w:kern w:val="0"/>
                <w:sz w:val="21"/>
                <w:szCs w:val="21"/>
              </w:rPr>
            </w:pPr>
            <w:r>
              <w:rPr>
                <w:color w:val="auto"/>
                <w:kern w:val="0"/>
                <w:sz w:val="21"/>
                <w:szCs w:val="21"/>
              </w:rPr>
              <w:t>湿喷混凝土用原材料质量</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按本规范第4章节</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按GB/T 8074检验</w:t>
            </w:r>
          </w:p>
          <w:p>
            <w:pPr>
              <w:widowControl/>
              <w:spacing w:line="240" w:lineRule="auto"/>
              <w:jc w:val="center"/>
              <w:rPr>
                <w:color w:val="auto"/>
                <w:kern w:val="0"/>
                <w:sz w:val="21"/>
                <w:szCs w:val="21"/>
              </w:rPr>
            </w:pPr>
          </w:p>
        </w:tc>
      </w:tr>
      <w:tr>
        <w:tblPrEx>
          <w:tblLayout w:type="fixed"/>
          <w:tblCellMar>
            <w:top w:w="0" w:type="dxa"/>
            <w:left w:w="108" w:type="dxa"/>
            <w:bottom w:w="0" w:type="dxa"/>
            <w:right w:w="108" w:type="dxa"/>
          </w:tblCellMar>
        </w:tblPrEx>
        <w:trPr>
          <w:trHeight w:val="36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2</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湿喷混凝土配合比</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　/</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试验选定</w:t>
            </w:r>
          </w:p>
        </w:tc>
      </w:tr>
      <w:tr>
        <w:tblPrEx>
          <w:tblLayout w:type="fixed"/>
          <w:tblCellMar>
            <w:top w:w="0" w:type="dxa"/>
            <w:left w:w="108" w:type="dxa"/>
            <w:bottom w:w="0" w:type="dxa"/>
            <w:right w:w="108" w:type="dxa"/>
          </w:tblCellMar>
        </w:tblPrEx>
        <w:trPr>
          <w:trHeight w:val="81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3</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湿喷混凝土厚度</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大于设计要求厚度</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埋钉法、凿孔法 或无损检测</w:t>
            </w:r>
          </w:p>
        </w:tc>
      </w:tr>
      <w:tr>
        <w:tblPrEx>
          <w:tblLayout w:type="fixed"/>
          <w:tblCellMar>
            <w:top w:w="0" w:type="dxa"/>
            <w:left w:w="108" w:type="dxa"/>
            <w:bottom w:w="0" w:type="dxa"/>
            <w:right w:w="108" w:type="dxa"/>
          </w:tblCellMar>
        </w:tblPrEx>
        <w:trPr>
          <w:trHeight w:val="36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4</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湿喷混凝土密实性</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rFonts w:hint="eastAsia"/>
                <w:color w:val="auto"/>
                <w:kern w:val="0"/>
                <w:sz w:val="21"/>
                <w:szCs w:val="21"/>
              </w:rPr>
              <w:t>/</w:t>
            </w:r>
            <w:r>
              <w:rPr>
                <w:color w:val="auto"/>
                <w:kern w:val="0"/>
                <w:sz w:val="21"/>
                <w:szCs w:val="21"/>
              </w:rPr>
              <w:t>　</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地质雷达</w:t>
            </w:r>
          </w:p>
        </w:tc>
      </w:tr>
      <w:tr>
        <w:tblPrEx>
          <w:tblLayout w:type="fixed"/>
          <w:tblCellMar>
            <w:top w:w="0" w:type="dxa"/>
            <w:left w:w="108" w:type="dxa"/>
            <w:bottom w:w="0" w:type="dxa"/>
            <w:right w:w="108" w:type="dxa"/>
          </w:tblCellMar>
        </w:tblPrEx>
        <w:trPr>
          <w:trHeight w:val="54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5</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湿喷混凝土早期强度</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C25湿喷混凝土24h强度应不小于10MPa</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射钉法或无底试模检测</w:t>
            </w:r>
          </w:p>
        </w:tc>
      </w:tr>
      <w:tr>
        <w:tblPrEx>
          <w:tblLayout w:type="fixed"/>
          <w:tblCellMar>
            <w:top w:w="0" w:type="dxa"/>
            <w:left w:w="108" w:type="dxa"/>
            <w:bottom w:w="0" w:type="dxa"/>
            <w:right w:w="108" w:type="dxa"/>
          </w:tblCellMar>
        </w:tblPrEx>
        <w:trPr>
          <w:trHeight w:val="56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6</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湿喷混凝土与围岩、钢架、钢筋网的结合</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紧密贴合，背后无空洞，无杂物</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凿孔、雷达监测</w:t>
            </w:r>
          </w:p>
        </w:tc>
      </w:tr>
      <w:tr>
        <w:tblPrEx>
          <w:tblLayout w:type="fixed"/>
          <w:tblCellMar>
            <w:top w:w="0" w:type="dxa"/>
            <w:left w:w="108" w:type="dxa"/>
            <w:bottom w:w="0" w:type="dxa"/>
            <w:right w:w="108" w:type="dxa"/>
          </w:tblCellMar>
        </w:tblPrEx>
        <w:trPr>
          <w:trHeight w:val="54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7</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湿喷混凝土表面质量</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平整、无裂缝、脱落、漏喷漏筋、空鼓，锚杆头无外漏</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观察、敲击</w:t>
            </w:r>
          </w:p>
        </w:tc>
      </w:tr>
      <w:tr>
        <w:tblPrEx>
          <w:tblLayout w:type="fixed"/>
          <w:tblCellMar>
            <w:top w:w="0" w:type="dxa"/>
            <w:left w:w="108" w:type="dxa"/>
            <w:bottom w:w="0" w:type="dxa"/>
            <w:right w:w="108" w:type="dxa"/>
          </w:tblCellMar>
        </w:tblPrEx>
        <w:trPr>
          <w:trHeight w:val="97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9</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冬期施工时作业区的气温和喷射设备的温度</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冬期施工时，做业区气温和湿喷混凝土进入喷射设备温度均不低于5℃</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测温</w:t>
            </w:r>
          </w:p>
        </w:tc>
      </w:tr>
      <w:tr>
        <w:tblPrEx>
          <w:tblLayout w:type="fixed"/>
          <w:tblCellMar>
            <w:top w:w="0" w:type="dxa"/>
            <w:left w:w="108" w:type="dxa"/>
            <w:bottom w:w="0" w:type="dxa"/>
            <w:right w:w="108" w:type="dxa"/>
          </w:tblCellMar>
        </w:tblPrEx>
        <w:trPr>
          <w:trHeight w:val="460" w:hRule="atLeast"/>
        </w:trPr>
        <w:tc>
          <w:tcPr>
            <w:tcW w:w="620" w:type="dxa"/>
            <w:vMerge w:val="continue"/>
            <w:tcBorders>
              <w:top w:val="nil"/>
              <w:left w:val="single" w:color="auto" w:sz="4" w:space="0"/>
              <w:bottom w:val="single" w:color="auto" w:sz="4" w:space="0"/>
              <w:right w:val="single" w:color="auto" w:sz="4" w:space="0"/>
            </w:tcBorders>
            <w:vAlign w:val="center"/>
          </w:tcPr>
          <w:p>
            <w:pPr>
              <w:widowControl/>
              <w:spacing w:line="240" w:lineRule="auto"/>
              <w:jc w:val="left"/>
              <w:rPr>
                <w:color w:val="auto"/>
                <w:kern w:val="0"/>
                <w:sz w:val="21"/>
                <w:szCs w:val="21"/>
              </w:rPr>
            </w:pPr>
          </w:p>
        </w:tc>
        <w:tc>
          <w:tcPr>
            <w:tcW w:w="620" w:type="dxa"/>
            <w:tcBorders>
              <w:top w:val="nil"/>
              <w:left w:val="nil"/>
              <w:bottom w:val="single" w:color="auto" w:sz="4" w:space="0"/>
              <w:right w:val="nil"/>
            </w:tcBorders>
            <w:vAlign w:val="center"/>
          </w:tcPr>
          <w:p>
            <w:pPr>
              <w:widowControl/>
              <w:spacing w:line="240" w:lineRule="auto"/>
              <w:jc w:val="center"/>
              <w:rPr>
                <w:color w:val="auto"/>
                <w:kern w:val="0"/>
                <w:sz w:val="21"/>
                <w:szCs w:val="21"/>
              </w:rPr>
            </w:pPr>
            <w:r>
              <w:rPr>
                <w:color w:val="auto"/>
                <w:kern w:val="0"/>
                <w:sz w:val="21"/>
                <w:szCs w:val="21"/>
              </w:rPr>
              <w:t>10</w:t>
            </w:r>
          </w:p>
        </w:tc>
        <w:tc>
          <w:tcPr>
            <w:tcW w:w="2260" w:type="dxa"/>
            <w:tcBorders>
              <w:top w:val="single" w:color="auto" w:sz="4" w:space="0"/>
              <w:left w:val="single" w:color="auto" w:sz="4" w:space="0"/>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湿喷混凝土拌和物坍落度</w:t>
            </w:r>
          </w:p>
        </w:tc>
        <w:tc>
          <w:tcPr>
            <w:tcW w:w="2780"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rFonts w:hint="eastAsia"/>
                <w:color w:val="auto"/>
                <w:kern w:val="0"/>
                <w:sz w:val="21"/>
                <w:szCs w:val="21"/>
              </w:rPr>
              <w:t>不宜大于</w:t>
            </w:r>
            <w:r>
              <w:rPr>
                <w:color w:val="auto"/>
                <w:kern w:val="0"/>
                <w:sz w:val="21"/>
                <w:szCs w:val="21"/>
              </w:rPr>
              <w:t>180mm</w:t>
            </w:r>
          </w:p>
        </w:tc>
        <w:tc>
          <w:tcPr>
            <w:tcW w:w="1815" w:type="dxa"/>
            <w:tcBorders>
              <w:top w:val="nil"/>
              <w:left w:val="nil"/>
              <w:bottom w:val="single" w:color="auto" w:sz="4" w:space="0"/>
              <w:right w:val="single" w:color="auto" w:sz="4" w:space="0"/>
            </w:tcBorders>
            <w:vAlign w:val="center"/>
          </w:tcPr>
          <w:p>
            <w:pPr>
              <w:widowControl/>
              <w:spacing w:line="240" w:lineRule="auto"/>
              <w:jc w:val="center"/>
              <w:rPr>
                <w:color w:val="auto"/>
                <w:kern w:val="0"/>
                <w:sz w:val="21"/>
                <w:szCs w:val="21"/>
              </w:rPr>
            </w:pPr>
            <w:r>
              <w:rPr>
                <w:color w:val="auto"/>
                <w:kern w:val="0"/>
                <w:sz w:val="21"/>
                <w:szCs w:val="21"/>
              </w:rPr>
              <w:t>现场量测</w:t>
            </w:r>
          </w:p>
        </w:tc>
      </w:tr>
    </w:tbl>
    <w:p>
      <w:pPr>
        <w:widowControl/>
        <w:spacing w:line="240" w:lineRule="auto"/>
        <w:jc w:val="left"/>
        <w:rPr>
          <w:color w:val="auto"/>
        </w:rPr>
      </w:pPr>
      <w:r>
        <w:rPr>
          <w:color w:val="auto"/>
        </w:rPr>
        <w:br w:type="page"/>
      </w:r>
      <w:bookmarkEnd w:id="60"/>
    </w:p>
    <w:p>
      <w:pPr>
        <w:pStyle w:val="2"/>
        <w:spacing w:before="600" w:beforeLines="0" w:after="600" w:afterLines="0"/>
        <w:rPr>
          <w:color w:val="auto"/>
        </w:rPr>
      </w:pPr>
      <w:bookmarkStart w:id="77" w:name="_Toc535781462"/>
      <w:bookmarkStart w:id="78" w:name="_Toc1658261"/>
      <w:bookmarkStart w:id="79" w:name="_Toc534722419"/>
      <w:bookmarkStart w:id="80" w:name="_Toc529969577"/>
      <w:r>
        <w:rPr>
          <w:color w:val="auto"/>
        </w:rPr>
        <w:t>附录A 掺速凝剂的净浆凝结时间试验</w:t>
      </w:r>
      <w:bookmarkEnd w:id="77"/>
      <w:bookmarkEnd w:id="78"/>
      <w:bookmarkEnd w:id="79"/>
      <w:bookmarkEnd w:id="80"/>
    </w:p>
    <w:p>
      <w:pPr>
        <w:rPr>
          <w:color w:val="auto"/>
        </w:rPr>
      </w:pPr>
      <w:r>
        <w:rPr>
          <w:b/>
          <w:color w:val="auto"/>
        </w:rPr>
        <w:t xml:space="preserve">A.0.1  </w:t>
      </w:r>
      <w:r>
        <w:rPr>
          <w:color w:val="auto"/>
        </w:rPr>
        <w:t>试验制作应使用下列仪器</w:t>
      </w:r>
    </w:p>
    <w:p>
      <w:pPr>
        <w:ind w:firstLine="482" w:firstLineChars="200"/>
        <w:rPr>
          <w:color w:val="auto"/>
        </w:rPr>
      </w:pPr>
      <w:r>
        <w:rPr>
          <w:b/>
          <w:color w:val="auto"/>
        </w:rPr>
        <w:t>1</w:t>
      </w:r>
      <w:r>
        <w:rPr>
          <w:color w:val="auto"/>
        </w:rPr>
        <w:t xml:space="preserve">  天平：量程1000g,分度值不大于0.1g；</w:t>
      </w:r>
    </w:p>
    <w:p>
      <w:pPr>
        <w:ind w:firstLine="482" w:firstLineChars="200"/>
        <w:rPr>
          <w:color w:val="auto"/>
        </w:rPr>
      </w:pPr>
      <w:r>
        <w:rPr>
          <w:b/>
          <w:color w:val="auto"/>
        </w:rPr>
        <w:t>2</w:t>
      </w:r>
      <w:r>
        <w:rPr>
          <w:color w:val="auto"/>
        </w:rPr>
        <w:t xml:space="preserve">  塑料注射器：50ml；</w:t>
      </w:r>
    </w:p>
    <w:p>
      <w:pPr>
        <w:ind w:firstLine="482" w:firstLineChars="200"/>
        <w:rPr>
          <w:color w:val="auto"/>
        </w:rPr>
      </w:pPr>
      <w:r>
        <w:rPr>
          <w:b/>
          <w:color w:val="auto"/>
        </w:rPr>
        <w:t>3</w:t>
      </w:r>
      <w:r>
        <w:rPr>
          <w:color w:val="auto"/>
        </w:rPr>
        <w:t xml:space="preserve">  秒表：分度值不小于1S；</w:t>
      </w:r>
    </w:p>
    <w:p>
      <w:pPr>
        <w:ind w:firstLine="482" w:firstLineChars="200"/>
        <w:rPr>
          <w:color w:val="auto"/>
        </w:rPr>
      </w:pPr>
      <w:r>
        <w:rPr>
          <w:b/>
          <w:color w:val="auto"/>
        </w:rPr>
        <w:t>4</w:t>
      </w:r>
      <w:r>
        <w:rPr>
          <w:color w:val="auto"/>
        </w:rPr>
        <w:t xml:space="preserve">  净浆搅拌机：JC/T727要求</w:t>
      </w:r>
    </w:p>
    <w:p>
      <w:pPr>
        <w:ind w:firstLine="482" w:firstLineChars="200"/>
        <w:rPr>
          <w:color w:val="auto"/>
        </w:rPr>
      </w:pPr>
      <w:r>
        <w:rPr>
          <w:b/>
          <w:color w:val="auto"/>
        </w:rPr>
        <w:t>5</w:t>
      </w:r>
      <w:r>
        <w:rPr>
          <w:color w:val="auto"/>
        </w:rPr>
        <w:t xml:space="preserve">  凝结时间测定仪：JC/T729要求</w:t>
      </w:r>
    </w:p>
    <w:p>
      <w:pPr>
        <w:rPr>
          <w:b/>
          <w:color w:val="auto"/>
        </w:rPr>
      </w:pPr>
      <w:r>
        <w:rPr>
          <w:b/>
          <w:color w:val="auto"/>
        </w:rPr>
        <w:t xml:space="preserve">A.0.2  </w:t>
      </w:r>
      <w:r>
        <w:rPr>
          <w:color w:val="auto"/>
        </w:rPr>
        <w:t>净浆配比</w:t>
      </w:r>
    </w:p>
    <w:p>
      <w:pPr>
        <w:ind w:firstLine="482" w:firstLineChars="200"/>
        <w:rPr>
          <w:rFonts w:eastAsiaTheme="minorEastAsia"/>
          <w:color w:val="auto"/>
        </w:rPr>
      </w:pPr>
      <w:r>
        <w:rPr>
          <w:b/>
          <w:color w:val="auto"/>
        </w:rPr>
        <w:t>1</w:t>
      </w:r>
      <w:r>
        <w:rPr>
          <w:rFonts w:eastAsiaTheme="minorEastAsia"/>
          <w:color w:val="auto"/>
        </w:rPr>
        <w:t xml:space="preserve">  水泥400g±1g</w:t>
      </w:r>
      <w:r>
        <w:rPr>
          <w:rFonts w:hint="eastAsia" w:eastAsiaTheme="minorEastAsia"/>
          <w:color w:val="auto"/>
        </w:rPr>
        <w:t>，用水量1</w:t>
      </w:r>
      <w:r>
        <w:rPr>
          <w:rFonts w:eastAsiaTheme="minorEastAsia"/>
          <w:color w:val="auto"/>
        </w:rPr>
        <w:t>40ml（包括液体速凝剂所含的水量）；速凝剂按生产厂家提供的推荐检验掺量掺加。</w:t>
      </w:r>
    </w:p>
    <w:p>
      <w:pPr>
        <w:ind w:firstLine="482" w:firstLineChars="200"/>
        <w:rPr>
          <w:rFonts w:eastAsiaTheme="minorEastAsia"/>
          <w:color w:val="auto"/>
        </w:rPr>
      </w:pPr>
      <w:r>
        <w:rPr>
          <w:b/>
          <w:color w:val="auto"/>
        </w:rPr>
        <w:t>2</w:t>
      </w:r>
      <w:r>
        <w:rPr>
          <w:rFonts w:eastAsiaTheme="minorEastAsia"/>
          <w:color w:val="auto"/>
        </w:rPr>
        <w:t xml:space="preserve">  进行试验时，试验时温度应保持在20±2℃，相对湿度不应低于50%，所用原材料应在试验温度下静置24h。</w:t>
      </w:r>
    </w:p>
    <w:p>
      <w:pPr>
        <w:rPr>
          <w:b/>
          <w:color w:val="auto"/>
        </w:rPr>
      </w:pPr>
      <w:r>
        <w:rPr>
          <w:b/>
          <w:color w:val="auto"/>
        </w:rPr>
        <w:t>A.0.3  试验步骤：</w:t>
      </w:r>
    </w:p>
    <w:p>
      <w:pPr>
        <w:ind w:firstLine="482" w:firstLineChars="200"/>
        <w:rPr>
          <w:rFonts w:eastAsiaTheme="minorEastAsia"/>
          <w:color w:val="auto"/>
        </w:rPr>
      </w:pPr>
      <w:r>
        <w:rPr>
          <w:b/>
          <w:color w:val="auto"/>
        </w:rPr>
        <w:t>1</w:t>
      </w:r>
      <w:r>
        <w:rPr>
          <w:rFonts w:eastAsiaTheme="minorEastAsia"/>
          <w:color w:val="auto"/>
        </w:rPr>
        <w:t xml:space="preserve">  搅拌和入模</w:t>
      </w:r>
    </w:p>
    <w:p>
      <w:pPr>
        <w:ind w:firstLine="480" w:firstLineChars="200"/>
        <w:rPr>
          <w:rFonts w:eastAsiaTheme="minorEastAsia"/>
          <w:color w:val="auto"/>
        </w:rPr>
      </w:pPr>
      <w:r>
        <w:rPr>
          <w:rFonts w:eastAsiaTheme="minorEastAsia"/>
          <w:color w:val="auto"/>
        </w:rPr>
        <w:t>将称量好的水、400g水泥放入搅拌锅内，启动搅拌机低速搅拌30s停止。用50ml注射器一次加入称量好的液体速凝剂，低速搅拌5s，再高速搅拌15s，搅拌结束，立即装入圆模中，用小刀插捣，轻轻振动数次，刮去多余的净浆，抹平表面。从加入液体速凝剂算起，全部操作时间不应超过50s。</w:t>
      </w:r>
    </w:p>
    <w:p>
      <w:pPr>
        <w:ind w:firstLine="480" w:firstLineChars="200"/>
        <w:rPr>
          <w:rFonts w:eastAsiaTheme="minorEastAsia"/>
          <w:color w:val="auto"/>
        </w:rPr>
      </w:pPr>
      <w:r>
        <w:rPr>
          <w:rFonts w:hint="eastAsia"/>
          <w:color w:val="auto"/>
        </w:rPr>
        <w:object>
          <v:shape id="_x0000_i1044" o:spt="75" type="#_x0000_t75" style="height:134pt;width:414.9pt;" o:ole="t" filled="f" o:preferrelative="t" stroked="f" coordsize="21600,21600">
            <v:path/>
            <v:fill on="f" focussize="0,0"/>
            <v:stroke on="f" joinstyle="miter"/>
            <v:imagedata r:id="rId54" cropleft="8248f" croptop="2208f" cropright="15999f" cropbottom="42415f" o:title=""/>
            <o:lock v:ext="edit" aspectratio="t"/>
            <w10:wrap type="none"/>
            <w10:anchorlock/>
          </v:shape>
          <o:OLEObject Type="Embed" ProgID="Visio.Drawing.15" ShapeID="_x0000_i1044" DrawAspect="Content" ObjectID="_1468075744" r:id="rId53">
            <o:LockedField>false</o:LockedField>
          </o:OLEObject>
        </w:object>
      </w:r>
    </w:p>
    <w:p>
      <w:pPr>
        <w:tabs>
          <w:tab w:val="left" w:pos="585"/>
          <w:tab w:val="left" w:pos="2702"/>
          <w:tab w:val="left" w:pos="2822"/>
          <w:tab w:val="left" w:pos="2928"/>
        </w:tabs>
        <w:spacing w:after="100" w:afterAutospacing="1" w:line="400" w:lineRule="exact"/>
        <w:jc w:val="center"/>
        <w:rPr>
          <w:b/>
          <w:color w:val="auto"/>
          <w:szCs w:val="28"/>
        </w:rPr>
      </w:pPr>
      <w:bookmarkStart w:id="81" w:name="_Hlk529439694"/>
      <w:r>
        <w:rPr>
          <w:rFonts w:eastAsia="黑体"/>
          <w:bCs/>
          <w:color w:val="auto"/>
          <w:sz w:val="21"/>
          <w:szCs w:val="28"/>
        </w:rPr>
        <w:t>图A.0.3 液体速凝剂净浆凝结时间试验操作流程图</w:t>
      </w:r>
      <w:bookmarkEnd w:id="81"/>
    </w:p>
    <w:p>
      <w:pPr>
        <w:ind w:firstLine="361" w:firstLineChars="150"/>
        <w:rPr>
          <w:rFonts w:eastAsiaTheme="minorEastAsia"/>
          <w:color w:val="auto"/>
        </w:rPr>
      </w:pPr>
      <w:r>
        <w:rPr>
          <w:b/>
          <w:color w:val="auto"/>
        </w:rPr>
        <w:t>2</w:t>
      </w:r>
      <w:r>
        <w:rPr>
          <w:rFonts w:eastAsiaTheme="minorEastAsia"/>
          <w:color w:val="auto"/>
        </w:rPr>
        <w:t xml:space="preserve">  凝结时间测定</w:t>
      </w:r>
    </w:p>
    <w:p>
      <w:pPr>
        <w:ind w:firstLine="480" w:firstLineChars="200"/>
        <w:rPr>
          <w:rFonts w:eastAsiaTheme="minorEastAsia"/>
          <w:color w:val="auto"/>
        </w:rPr>
      </w:pPr>
      <w:r>
        <w:rPr>
          <w:rFonts w:eastAsiaTheme="minorEastAsia"/>
          <w:color w:val="auto"/>
        </w:rPr>
        <w:t>按GB/T1346的方法测定初凝和终凝时间。每隔10s测试一次，直至初凝和和终凝为止，时间从加入速凝剂时算起。</w:t>
      </w:r>
    </w:p>
    <w:p>
      <w:pPr>
        <w:rPr>
          <w:color w:val="auto"/>
        </w:rPr>
      </w:pPr>
      <w:r>
        <w:rPr>
          <w:b/>
          <w:color w:val="auto"/>
        </w:rPr>
        <w:t xml:space="preserve">A.0.4  </w:t>
      </w:r>
      <w:r>
        <w:rPr>
          <w:color w:val="auto"/>
        </w:rPr>
        <w:t>试验结果的确定</w:t>
      </w:r>
    </w:p>
    <w:p>
      <w:pPr>
        <w:ind w:firstLine="601"/>
        <w:rPr>
          <w:rFonts w:eastAsiaTheme="minorEastAsia"/>
          <w:color w:val="auto"/>
        </w:rPr>
      </w:pPr>
      <w:r>
        <w:rPr>
          <w:rFonts w:eastAsiaTheme="minorEastAsia"/>
          <w:color w:val="auto"/>
        </w:rPr>
        <w:t>凝结时间单位为分（min），试验结果以分：秒（min:s）形式表达。同一个试验必须进行两次测定，试验结果以两次测定值的算术平均值表示。如两次测定值的差值大于30s，则试验作废。</w:t>
      </w:r>
    </w:p>
    <w:p>
      <w:pPr>
        <w:pStyle w:val="2"/>
        <w:spacing w:before="600" w:beforeLines="0" w:after="600" w:afterLines="0"/>
        <w:rPr>
          <w:color w:val="auto"/>
        </w:rPr>
      </w:pPr>
      <w:r>
        <w:rPr>
          <w:color w:val="auto"/>
          <w:sz w:val="28"/>
          <w:szCs w:val="28"/>
        </w:rPr>
        <w:br w:type="page"/>
      </w:r>
      <w:bookmarkStart w:id="82" w:name="_Toc1658262"/>
      <w:bookmarkStart w:id="83" w:name="_Toc535781463"/>
      <w:bookmarkStart w:id="84" w:name="_Toc534722420"/>
      <w:bookmarkStart w:id="85" w:name="_Toc272244949"/>
      <w:bookmarkStart w:id="86" w:name="_Toc529969578"/>
      <w:r>
        <w:rPr>
          <w:color w:val="auto"/>
        </w:rPr>
        <w:t>附录B  湿喷混凝土强度检查试件制作方法</w:t>
      </w:r>
      <w:bookmarkEnd w:id="82"/>
      <w:bookmarkEnd w:id="83"/>
      <w:bookmarkEnd w:id="84"/>
      <w:bookmarkEnd w:id="85"/>
      <w:bookmarkEnd w:id="86"/>
    </w:p>
    <w:p>
      <w:pPr>
        <w:rPr>
          <w:rFonts w:eastAsiaTheme="minorEastAsia"/>
          <w:color w:val="auto"/>
        </w:rPr>
      </w:pPr>
      <w:r>
        <w:rPr>
          <w:b/>
          <w:color w:val="auto"/>
        </w:rPr>
        <w:t xml:space="preserve">B.0.1  </w:t>
      </w:r>
      <w:r>
        <w:rPr>
          <w:rFonts w:eastAsiaTheme="minorEastAsia"/>
          <w:color w:val="auto"/>
        </w:rPr>
        <w:t>试件制作应使用下列仪器设备：</w:t>
      </w:r>
    </w:p>
    <w:p>
      <w:pPr>
        <w:ind w:firstLine="480" w:firstLineChars="200"/>
        <w:rPr>
          <w:rFonts w:eastAsiaTheme="minorEastAsia"/>
          <w:color w:val="auto"/>
        </w:rPr>
      </w:pPr>
      <w:r>
        <w:rPr>
          <w:rFonts w:eastAsiaTheme="minorEastAsia"/>
          <w:color w:val="auto"/>
        </w:rPr>
        <w:t>搅拌机、喷射设备、模具、电子天平、铲子、抹刀等其他辅助设备。</w:t>
      </w:r>
    </w:p>
    <w:p>
      <w:pPr>
        <w:ind w:left="-38" w:leftChars="-16" w:firstLine="29" w:firstLineChars="12"/>
        <w:rPr>
          <w:color w:val="auto"/>
          <w:szCs w:val="28"/>
        </w:rPr>
      </w:pPr>
      <w:r>
        <w:rPr>
          <w:b/>
          <w:color w:val="auto"/>
          <w:szCs w:val="28"/>
        </w:rPr>
        <w:t xml:space="preserve">B.0.2  </w:t>
      </w:r>
      <w:r>
        <w:rPr>
          <w:rFonts w:eastAsiaTheme="minorEastAsia"/>
          <w:color w:val="auto"/>
        </w:rPr>
        <w:t>湿喷混凝土性能试验的试件，除用于抗渗试验的混凝土试件可直接喷模成型外，其余试验的混凝土试件应从施工现场喷射的湿喷混凝土大板上切割或钻芯法制取。模具的最小尺寸不应小于450mm</w:t>
      </w:r>
      <w:r>
        <w:rPr>
          <w:rFonts w:hint="eastAsia" w:eastAsiaTheme="minorEastAsia"/>
          <w:color w:val="auto"/>
        </w:rPr>
        <w:t>×</w:t>
      </w:r>
      <w:r>
        <w:rPr>
          <w:rFonts w:eastAsiaTheme="minorEastAsia"/>
          <w:color w:val="auto"/>
        </w:rPr>
        <w:t>350mm</w:t>
      </w:r>
      <w:r>
        <w:rPr>
          <w:rFonts w:hint="eastAsia" w:eastAsiaTheme="minorEastAsia"/>
          <w:color w:val="auto"/>
        </w:rPr>
        <w:t>×</w:t>
      </w:r>
      <w:r>
        <w:rPr>
          <w:rFonts w:eastAsiaTheme="minorEastAsia"/>
          <w:color w:val="auto"/>
        </w:rPr>
        <w:t>120mm,，模具一侧边为敞开式，钢模具的厚度不宜小于5mm，胶合板模具的厚度不宜小于18mm。</w:t>
      </w:r>
    </w:p>
    <w:p>
      <w:pPr>
        <w:rPr>
          <w:color w:val="auto"/>
        </w:rPr>
      </w:pPr>
      <w:r>
        <w:rPr>
          <w:rFonts w:eastAsia="黑体"/>
          <w:b/>
          <w:bCs/>
          <w:color w:val="auto"/>
          <w:szCs w:val="24"/>
        </w:rPr>
        <w:t>B.0.3</w:t>
      </w:r>
      <w:r>
        <w:rPr>
          <w:color w:val="auto"/>
        </w:rPr>
        <w:t xml:space="preserve"> 湿喷混凝土试件的制作应符合下列步骤：</w:t>
      </w:r>
    </w:p>
    <w:p>
      <w:pPr>
        <w:ind w:firstLine="482" w:firstLineChars="200"/>
        <w:rPr>
          <w:rFonts w:eastAsiaTheme="minorEastAsia"/>
          <w:color w:val="auto"/>
        </w:rPr>
      </w:pPr>
      <w:r>
        <w:rPr>
          <w:b/>
          <w:color w:val="auto"/>
          <w:szCs w:val="28"/>
        </w:rPr>
        <w:t xml:space="preserve">1  </w:t>
      </w:r>
      <w:r>
        <w:rPr>
          <w:rFonts w:eastAsiaTheme="minorEastAsia"/>
          <w:color w:val="auto"/>
        </w:rPr>
        <w:t>将模具以水平约80°夹角置于墙角或固定于墙面。</w:t>
      </w:r>
    </w:p>
    <w:p>
      <w:pPr>
        <w:ind w:firstLine="482" w:firstLineChars="200"/>
        <w:rPr>
          <w:rFonts w:eastAsiaTheme="minorEastAsia"/>
          <w:color w:val="auto"/>
        </w:rPr>
      </w:pPr>
      <w:r>
        <w:rPr>
          <w:b/>
          <w:color w:val="auto"/>
        </w:rPr>
        <w:t>2</w:t>
      </w:r>
      <w:r>
        <w:rPr>
          <w:rFonts w:eastAsiaTheme="minorEastAsia"/>
          <w:color w:val="auto"/>
        </w:rPr>
        <w:t xml:space="preserve">  喷嘴与模具面的距离宜控制在1.0m～2.0m。先在模具外的边墙上喷射，待喷射稳定后，将喷头移至模具位置，由下至上逐层将模具喷满混凝土。模具上方或周边有模具需要进行喷射时，应进行遮盖，防止回弹物溅落在湿喷混凝土大板上。</w:t>
      </w:r>
    </w:p>
    <w:p>
      <w:pPr>
        <w:ind w:firstLine="482" w:firstLineChars="200"/>
        <w:rPr>
          <w:rFonts w:eastAsiaTheme="minorEastAsia"/>
          <w:color w:val="auto"/>
        </w:rPr>
      </w:pPr>
      <w:r>
        <w:rPr>
          <w:b/>
          <w:color w:val="auto"/>
        </w:rPr>
        <w:t>3</w:t>
      </w:r>
      <w:r>
        <w:rPr>
          <w:rFonts w:eastAsiaTheme="minorEastAsia"/>
          <w:color w:val="auto"/>
        </w:rPr>
        <w:t xml:space="preserve">  喷射后，湿喷混凝土试件18h内不得移动，并应进行洒水养护或覆盖养护。采用贯入法进行早期强度测试时，应在湿喷混凝土终凝前用抹刀刮平混凝土表面；进行1d早期强度测试时，试件宜在龄期前2h加工。</w:t>
      </w:r>
    </w:p>
    <w:p>
      <w:pPr>
        <w:ind w:firstLine="482" w:firstLineChars="200"/>
        <w:rPr>
          <w:rFonts w:eastAsiaTheme="minorEastAsia"/>
          <w:color w:val="auto"/>
        </w:rPr>
      </w:pPr>
      <w:r>
        <w:rPr>
          <w:b/>
          <w:color w:val="auto"/>
        </w:rPr>
        <w:t>4</w:t>
      </w:r>
      <w:r>
        <w:rPr>
          <w:rFonts w:eastAsiaTheme="minorEastAsia"/>
          <w:color w:val="auto"/>
        </w:rPr>
        <w:t xml:space="preserve">  养护1d后脱模。将混凝土大板移至标准养护室，标准养护7d后，根据需要的试件尺寸进行切割或钻芯。湿喷混凝土大板周边100mm范围内的混凝土不得制作试件。</w:t>
      </w:r>
    </w:p>
    <w:p>
      <w:pPr>
        <w:rPr>
          <w:color w:val="auto"/>
          <w:szCs w:val="28"/>
        </w:rPr>
      </w:pPr>
      <w:r>
        <w:rPr>
          <w:rFonts w:eastAsia="黑体"/>
          <w:b/>
          <w:bCs/>
          <w:color w:val="auto"/>
          <w:szCs w:val="24"/>
        </w:rPr>
        <w:t>B.0.4</w:t>
      </w:r>
      <w:r>
        <w:rPr>
          <w:rFonts w:eastAsiaTheme="minorEastAsia"/>
          <w:color w:val="auto"/>
        </w:rPr>
        <w:t>应将加工后的试件在标准条件下养护至所需龄期进行混凝土力学性能、长期性能和耐久性能试验。</w:t>
      </w:r>
    </w:p>
    <w:p>
      <w:pPr>
        <w:pStyle w:val="2"/>
        <w:spacing w:before="600" w:beforeLines="0" w:after="600" w:afterLines="0"/>
        <w:rPr>
          <w:color w:val="auto"/>
        </w:rPr>
      </w:pPr>
      <w:r>
        <w:rPr>
          <w:b w:val="0"/>
          <w:color w:val="auto"/>
          <w:sz w:val="28"/>
          <w:szCs w:val="28"/>
        </w:rPr>
        <w:br w:type="page"/>
      </w:r>
      <w:bookmarkStart w:id="87" w:name="_Toc1658263"/>
      <w:bookmarkStart w:id="88" w:name="_Toc534722421"/>
      <w:bookmarkStart w:id="89" w:name="_Toc529969579"/>
      <w:bookmarkStart w:id="90" w:name="_Toc535781464"/>
      <w:r>
        <w:rPr>
          <w:color w:val="auto"/>
        </w:rPr>
        <w:t>附录C 湿喷混凝土抗压强度试验</w:t>
      </w:r>
      <w:bookmarkEnd w:id="87"/>
      <w:bookmarkEnd w:id="88"/>
      <w:bookmarkEnd w:id="89"/>
      <w:bookmarkEnd w:id="90"/>
    </w:p>
    <w:p>
      <w:pPr>
        <w:rPr>
          <w:rFonts w:eastAsiaTheme="minorEastAsia"/>
          <w:color w:val="auto"/>
        </w:rPr>
      </w:pPr>
      <w:r>
        <w:rPr>
          <w:rFonts w:eastAsia="黑体"/>
          <w:b/>
          <w:bCs/>
          <w:color w:val="auto"/>
          <w:szCs w:val="24"/>
        </w:rPr>
        <w:t>C.0.1</w:t>
      </w:r>
      <w:r>
        <w:rPr>
          <w:rFonts w:eastAsiaTheme="minorEastAsia"/>
          <w:color w:val="auto"/>
        </w:rPr>
        <w:t>试验应使用下列仪器：</w:t>
      </w:r>
    </w:p>
    <w:p>
      <w:pPr>
        <w:ind w:firstLine="482" w:firstLineChars="200"/>
        <w:rPr>
          <w:rFonts w:eastAsiaTheme="minorEastAsia"/>
          <w:color w:val="auto"/>
        </w:rPr>
      </w:pPr>
      <w:r>
        <w:rPr>
          <w:b/>
          <w:color w:val="auto"/>
        </w:rPr>
        <w:t>1</w:t>
      </w:r>
      <w:r>
        <w:rPr>
          <w:rFonts w:eastAsiaTheme="minorEastAsia"/>
          <w:color w:val="auto"/>
        </w:rPr>
        <w:t xml:space="preserve">  压力试验机，测量精度为±1%；</w:t>
      </w:r>
    </w:p>
    <w:p>
      <w:pPr>
        <w:ind w:firstLine="482" w:firstLineChars="200"/>
        <w:rPr>
          <w:rFonts w:eastAsiaTheme="minorEastAsia"/>
          <w:color w:val="auto"/>
        </w:rPr>
      </w:pPr>
      <w:r>
        <w:rPr>
          <w:b/>
          <w:color w:val="auto"/>
        </w:rPr>
        <w:t>2</w:t>
      </w:r>
      <w:r>
        <w:rPr>
          <w:rFonts w:eastAsiaTheme="minorEastAsia"/>
          <w:color w:val="auto"/>
        </w:rPr>
        <w:t xml:space="preserve">  切割机；</w:t>
      </w:r>
    </w:p>
    <w:p>
      <w:pPr>
        <w:ind w:firstLine="482" w:firstLineChars="200"/>
        <w:rPr>
          <w:rFonts w:eastAsiaTheme="minorEastAsia"/>
          <w:color w:val="auto"/>
        </w:rPr>
      </w:pPr>
      <w:r>
        <w:rPr>
          <w:b/>
          <w:color w:val="auto"/>
        </w:rPr>
        <w:t>3</w:t>
      </w:r>
      <w:r>
        <w:rPr>
          <w:rFonts w:eastAsiaTheme="minorEastAsia"/>
          <w:color w:val="auto"/>
        </w:rPr>
        <w:t xml:space="preserve">  磨平机或双端面磨平机；</w:t>
      </w:r>
    </w:p>
    <w:p>
      <w:pPr>
        <w:ind w:firstLine="482" w:firstLineChars="200"/>
        <w:rPr>
          <w:rFonts w:eastAsiaTheme="minorEastAsia"/>
          <w:color w:val="auto"/>
        </w:rPr>
      </w:pPr>
      <w:r>
        <w:rPr>
          <w:b/>
          <w:color w:val="auto"/>
        </w:rPr>
        <w:t>4</w:t>
      </w:r>
      <w:r>
        <w:rPr>
          <w:rFonts w:eastAsiaTheme="minorEastAsia"/>
          <w:color w:val="auto"/>
        </w:rPr>
        <w:t xml:space="preserve">  钻芯机。</w:t>
      </w:r>
    </w:p>
    <w:p>
      <w:pPr>
        <w:rPr>
          <w:rFonts w:eastAsiaTheme="minorEastAsia"/>
          <w:color w:val="auto"/>
        </w:rPr>
      </w:pPr>
      <w:r>
        <w:rPr>
          <w:rFonts w:eastAsia="黑体"/>
          <w:b/>
          <w:bCs/>
          <w:color w:val="auto"/>
          <w:szCs w:val="24"/>
        </w:rPr>
        <w:t xml:space="preserve">C.0.2 </w:t>
      </w:r>
      <w:r>
        <w:rPr>
          <w:rFonts w:eastAsiaTheme="minorEastAsia"/>
          <w:color w:val="auto"/>
        </w:rPr>
        <w:t>试件应在湿喷混凝土大板上切割或钻芯取得，试件的制作方法应按本附录B执行。</w:t>
      </w:r>
    </w:p>
    <w:p>
      <w:pPr>
        <w:rPr>
          <w:color w:val="auto"/>
          <w:szCs w:val="28"/>
        </w:rPr>
      </w:pPr>
      <w:r>
        <w:rPr>
          <w:b/>
          <w:color w:val="auto"/>
          <w:szCs w:val="28"/>
        </w:rPr>
        <w:t xml:space="preserve">C.0.3  </w:t>
      </w:r>
      <w:r>
        <w:rPr>
          <w:rFonts w:eastAsiaTheme="minorEastAsia"/>
          <w:color w:val="auto"/>
        </w:rPr>
        <w:t>湿喷混凝土1d早期强度试验，试件宜在到达龄期前2h加工。28d抗压强度应在标准条件下养护7d后进行试件加工。</w:t>
      </w:r>
    </w:p>
    <w:p>
      <w:pPr>
        <w:rPr>
          <w:rFonts w:eastAsiaTheme="minorEastAsia"/>
          <w:color w:val="auto"/>
        </w:rPr>
      </w:pPr>
      <w:r>
        <w:rPr>
          <w:b/>
          <w:color w:val="auto"/>
          <w:szCs w:val="28"/>
        </w:rPr>
        <w:t xml:space="preserve">C.0.4  </w:t>
      </w:r>
      <w:r>
        <w:rPr>
          <w:rFonts w:eastAsiaTheme="minorEastAsia"/>
          <w:color w:val="auto"/>
        </w:rPr>
        <w:t>湿喷混凝土抗压强度的同组试件应在同一大板上切割或钻芯制取。切割法制备的试件应为边长100mm的立方体；钻芯法制备的试件应为直径和高度均为100mm的圆柱体。</w:t>
      </w:r>
    </w:p>
    <w:p>
      <w:pPr>
        <w:rPr>
          <w:rFonts w:eastAsiaTheme="minorEastAsia"/>
          <w:color w:val="auto"/>
        </w:rPr>
      </w:pPr>
      <w:r>
        <w:rPr>
          <w:rFonts w:eastAsia="黑体"/>
          <w:b/>
          <w:bCs/>
          <w:color w:val="auto"/>
          <w:szCs w:val="24"/>
        </w:rPr>
        <w:t>C.0.5</w:t>
      </w:r>
      <w:r>
        <w:rPr>
          <w:rFonts w:eastAsiaTheme="minorEastAsia"/>
          <w:color w:val="auto"/>
        </w:rPr>
        <w:t>抗压强度试验应符合下列规定：</w:t>
      </w:r>
    </w:p>
    <w:p>
      <w:pPr>
        <w:ind w:firstLine="482" w:firstLineChars="200"/>
        <w:rPr>
          <w:rFonts w:eastAsiaTheme="minorEastAsia"/>
          <w:color w:val="auto"/>
        </w:rPr>
      </w:pPr>
      <w:r>
        <w:rPr>
          <w:b/>
          <w:color w:val="auto"/>
        </w:rPr>
        <w:t>1</w:t>
      </w:r>
      <w:r>
        <w:rPr>
          <w:rFonts w:eastAsiaTheme="minorEastAsia"/>
          <w:color w:val="auto"/>
        </w:rPr>
        <w:t xml:space="preserve">  立方体试件尺寸的允许差值：边长不应大于±1mm，直角不应大于2°；圆柱体试件尺寸的允许差值：端面不平整度为每100mm长度不应大于0．05mm，垂直度不应大于2°</w:t>
      </w:r>
      <w:r>
        <w:rPr>
          <w:rFonts w:hint="eastAsia" w:eastAsiaTheme="minorEastAsia"/>
          <w:color w:val="auto"/>
        </w:rPr>
        <w:t>。</w:t>
      </w:r>
    </w:p>
    <w:p>
      <w:pPr>
        <w:ind w:firstLine="482" w:firstLineChars="200"/>
        <w:rPr>
          <w:rFonts w:eastAsiaTheme="minorEastAsia"/>
          <w:color w:val="auto"/>
        </w:rPr>
      </w:pPr>
      <w:r>
        <w:rPr>
          <w:b/>
          <w:color w:val="auto"/>
        </w:rPr>
        <w:t>2</w:t>
      </w:r>
      <w:r>
        <w:rPr>
          <w:rFonts w:eastAsiaTheme="minorEastAsia"/>
          <w:color w:val="auto"/>
        </w:rPr>
        <w:t xml:space="preserve">  试件在标准条件下养护至28d，</w:t>
      </w:r>
      <w:r>
        <w:rPr>
          <w:rFonts w:hint="eastAsia" w:eastAsiaTheme="minorEastAsia"/>
          <w:color w:val="auto"/>
        </w:rPr>
        <w:t>立方体试件</w:t>
      </w:r>
      <w:r>
        <w:rPr>
          <w:rFonts w:eastAsiaTheme="minorEastAsia"/>
          <w:color w:val="auto"/>
        </w:rPr>
        <w:t>试验方法应按现行国家标准《普通混凝土力学性能试验方法标准》GB／T 50081中抗压强度试验执行</w:t>
      </w:r>
      <w:r>
        <w:rPr>
          <w:rFonts w:hint="eastAsia" w:eastAsiaTheme="minorEastAsia"/>
          <w:color w:val="auto"/>
        </w:rPr>
        <w:t>，圆柱体试件</w:t>
      </w:r>
      <w:r>
        <w:rPr>
          <w:rFonts w:eastAsiaTheme="minorEastAsia"/>
          <w:color w:val="auto"/>
        </w:rPr>
        <w:t>按现行</w:t>
      </w:r>
      <w:r>
        <w:rPr>
          <w:rFonts w:hint="eastAsia" w:eastAsiaTheme="minorEastAsia"/>
          <w:color w:val="auto"/>
        </w:rPr>
        <w:t>行业</w:t>
      </w:r>
      <w:r>
        <w:rPr>
          <w:rFonts w:eastAsiaTheme="minorEastAsia"/>
          <w:color w:val="auto"/>
        </w:rPr>
        <w:t>标准</w:t>
      </w:r>
      <w:r>
        <w:rPr>
          <w:rFonts w:hint="eastAsia" w:eastAsiaTheme="minorEastAsia"/>
          <w:color w:val="auto"/>
        </w:rPr>
        <w:t>《铁路工程结构混凝土强度检测规程》T</w:t>
      </w:r>
      <w:r>
        <w:rPr>
          <w:rFonts w:eastAsiaTheme="minorEastAsia"/>
          <w:color w:val="auto"/>
        </w:rPr>
        <w:t>B 10426中抗压强度试验</w:t>
      </w:r>
      <w:r>
        <w:rPr>
          <w:rFonts w:hint="eastAsia" w:eastAsiaTheme="minorEastAsia"/>
          <w:color w:val="auto"/>
        </w:rPr>
        <w:t>执行</w:t>
      </w:r>
      <w:r>
        <w:rPr>
          <w:rFonts w:eastAsiaTheme="minorEastAsia"/>
          <w:color w:val="auto"/>
        </w:rPr>
        <w:t>，测得值即为湿喷混凝土试件的抗压强度</w:t>
      </w:r>
      <w:r>
        <w:rPr>
          <w:rFonts w:hint="eastAsia" w:eastAsiaTheme="minorEastAsia"/>
          <w:color w:val="auto"/>
        </w:rPr>
        <w:t>。</w:t>
      </w:r>
    </w:p>
    <w:p>
      <w:pPr>
        <w:ind w:firstLine="482" w:firstLineChars="200"/>
        <w:rPr>
          <w:rFonts w:eastAsiaTheme="minorEastAsia"/>
          <w:color w:val="auto"/>
        </w:rPr>
      </w:pPr>
      <w:r>
        <w:rPr>
          <w:b/>
          <w:color w:val="auto"/>
        </w:rPr>
        <w:t>3</w:t>
      </w:r>
      <w:r>
        <w:rPr>
          <w:rFonts w:eastAsiaTheme="minorEastAsia"/>
          <w:color w:val="auto"/>
        </w:rPr>
        <w:t xml:space="preserve">  加载方向应与大板喷射成型方向垂直。</w:t>
      </w:r>
    </w:p>
    <w:p>
      <w:pPr>
        <w:ind w:firstLine="420" w:firstLineChars="150"/>
        <w:rPr>
          <w:color w:val="auto"/>
          <w:sz w:val="28"/>
          <w:szCs w:val="28"/>
        </w:rPr>
      </w:pPr>
      <w:r>
        <w:rPr>
          <w:color w:val="auto"/>
          <w:sz w:val="28"/>
          <w:szCs w:val="28"/>
        </w:rPr>
        <w:br w:type="page"/>
      </w:r>
    </w:p>
    <w:p>
      <w:pPr>
        <w:pStyle w:val="2"/>
        <w:spacing w:before="600" w:beforeLines="0" w:after="600" w:afterLines="0"/>
        <w:rPr>
          <w:color w:val="auto"/>
        </w:rPr>
      </w:pPr>
      <w:bookmarkStart w:id="91" w:name="_Toc535781465"/>
      <w:bookmarkStart w:id="92" w:name="_Toc529969582"/>
      <w:bookmarkStart w:id="93" w:name="_Toc534722424"/>
      <w:bookmarkStart w:id="94" w:name="_Toc1658264"/>
      <w:r>
        <w:rPr>
          <w:color w:val="auto"/>
        </w:rPr>
        <w:t>附录D 湿喷混凝土能量吸收等级试验</w:t>
      </w:r>
      <w:bookmarkEnd w:id="91"/>
      <w:bookmarkEnd w:id="92"/>
      <w:bookmarkEnd w:id="93"/>
      <w:bookmarkEnd w:id="94"/>
    </w:p>
    <w:p>
      <w:pPr>
        <w:pStyle w:val="48"/>
        <w:ind w:firstLine="0"/>
        <w:rPr>
          <w:rFonts w:eastAsiaTheme="minorEastAsia"/>
          <w:color w:val="auto"/>
        </w:rPr>
      </w:pPr>
      <w:r>
        <w:rPr>
          <w:rFonts w:eastAsia="黑体"/>
          <w:b/>
          <w:bCs/>
          <w:color w:val="auto"/>
          <w:szCs w:val="24"/>
        </w:rPr>
        <w:t>D.0.1</w:t>
      </w:r>
      <w:r>
        <w:rPr>
          <w:rFonts w:eastAsiaTheme="minorEastAsia"/>
          <w:color w:val="auto"/>
        </w:rPr>
        <w:t>试验应使用下列仪器：</w:t>
      </w:r>
    </w:p>
    <w:p>
      <w:pPr>
        <w:ind w:firstLine="482" w:firstLineChars="200"/>
        <w:rPr>
          <w:rFonts w:eastAsiaTheme="minorEastAsia"/>
          <w:color w:val="auto"/>
        </w:rPr>
      </w:pPr>
      <w:r>
        <w:rPr>
          <w:b/>
          <w:color w:val="auto"/>
        </w:rPr>
        <w:t>1</w:t>
      </w:r>
      <w:r>
        <w:rPr>
          <w:rFonts w:eastAsiaTheme="minorEastAsia"/>
          <w:color w:val="auto"/>
        </w:rPr>
        <w:t xml:space="preserve">  伺服万能试验机，也可采用承力架液压千斤顶系统加压，测量精度不应低于1.0%，并采用等速位移控制；</w:t>
      </w:r>
    </w:p>
    <w:p>
      <w:pPr>
        <w:ind w:firstLine="482" w:firstLineChars="200"/>
        <w:rPr>
          <w:rFonts w:eastAsiaTheme="minorEastAsia"/>
          <w:color w:val="auto"/>
        </w:rPr>
      </w:pPr>
      <w:r>
        <w:rPr>
          <w:b/>
          <w:color w:val="auto"/>
        </w:rPr>
        <w:t>2</w:t>
      </w:r>
      <w:r>
        <w:rPr>
          <w:rFonts w:eastAsiaTheme="minorEastAsia"/>
          <w:color w:val="auto"/>
        </w:rPr>
        <w:t xml:space="preserve">  位移传感器，量程不应小于30mm，精度不应低于0.01mm;</w:t>
      </w:r>
    </w:p>
    <w:p>
      <w:pPr>
        <w:ind w:firstLine="482" w:firstLineChars="200"/>
        <w:rPr>
          <w:rFonts w:eastAsiaTheme="minorEastAsia"/>
          <w:color w:val="auto"/>
        </w:rPr>
      </w:pPr>
      <w:r>
        <w:rPr>
          <w:b/>
          <w:color w:val="auto"/>
        </w:rPr>
        <w:t>3</w:t>
      </w:r>
      <w:r>
        <w:rPr>
          <w:rFonts w:eastAsiaTheme="minorEastAsia"/>
          <w:color w:val="auto"/>
        </w:rPr>
        <w:t xml:space="preserve">  荷载传感器，量程不应小于破坏荷载120%，测量精度不应低于1.0%；</w:t>
      </w:r>
    </w:p>
    <w:p>
      <w:pPr>
        <w:ind w:firstLine="482" w:firstLineChars="200"/>
        <w:rPr>
          <w:rFonts w:eastAsiaTheme="minorEastAsia"/>
          <w:color w:val="auto"/>
        </w:rPr>
      </w:pPr>
      <w:r>
        <w:rPr>
          <w:b/>
          <w:color w:val="auto"/>
        </w:rPr>
        <w:t>4</w:t>
      </w:r>
      <w:r>
        <w:rPr>
          <w:rFonts w:eastAsiaTheme="minorEastAsia"/>
          <w:color w:val="auto"/>
        </w:rPr>
        <w:t xml:space="preserve">  数据采集系统，应能进行实时采集荷载与挠度的数据，采集频率不应低于1KHz；</w:t>
      </w:r>
    </w:p>
    <w:p>
      <w:pPr>
        <w:ind w:firstLine="482" w:firstLineChars="200"/>
        <w:rPr>
          <w:rFonts w:eastAsiaTheme="minorEastAsia"/>
          <w:color w:val="auto"/>
        </w:rPr>
      </w:pPr>
      <w:r>
        <w:rPr>
          <w:b/>
          <w:color w:val="auto"/>
        </w:rPr>
        <w:t>5</w:t>
      </w:r>
      <w:r>
        <w:rPr>
          <w:rFonts w:eastAsiaTheme="minorEastAsia"/>
          <w:color w:val="auto"/>
        </w:rPr>
        <w:t xml:space="preserve">  钢制加载垫块，边长100mm的正方形；</w:t>
      </w:r>
    </w:p>
    <w:p>
      <w:pPr>
        <w:ind w:firstLine="482" w:firstLineChars="200"/>
        <w:rPr>
          <w:rFonts w:eastAsiaTheme="minorEastAsia"/>
          <w:color w:val="auto"/>
        </w:rPr>
      </w:pPr>
      <w:r>
        <w:rPr>
          <w:b/>
          <w:color w:val="auto"/>
        </w:rPr>
        <w:t>6</w:t>
      </w:r>
      <w:r>
        <w:rPr>
          <w:rFonts w:eastAsiaTheme="minorEastAsia"/>
          <w:color w:val="auto"/>
        </w:rPr>
        <w:t xml:space="preserve">  试件支座，内边边长500mm的正方形钢框，钢框的对角误差不应大于0.5mm，起刚度应确保加载过程中不产生形变；</w:t>
      </w:r>
    </w:p>
    <w:p>
      <w:pPr>
        <w:ind w:firstLine="482" w:firstLineChars="200"/>
        <w:rPr>
          <w:color w:val="auto"/>
          <w:szCs w:val="28"/>
        </w:rPr>
      </w:pPr>
      <w:r>
        <w:rPr>
          <w:b/>
          <w:color w:val="auto"/>
        </w:rPr>
        <w:t>7</w:t>
      </w:r>
      <w:r>
        <w:rPr>
          <w:rFonts w:eastAsiaTheme="minorEastAsia"/>
          <w:color w:val="auto"/>
        </w:rPr>
        <w:t xml:space="preserve">  钢直尺、游标卡尺、水平仪等其他辅助量具和仪表。</w:t>
      </w:r>
    </w:p>
    <w:p>
      <w:pPr>
        <w:rPr>
          <w:color w:val="auto"/>
          <w:szCs w:val="28"/>
        </w:rPr>
      </w:pPr>
      <w:r>
        <w:rPr>
          <w:rFonts w:eastAsia="黑体"/>
          <w:b/>
          <w:bCs/>
          <w:color w:val="auto"/>
          <w:szCs w:val="24"/>
        </w:rPr>
        <w:t xml:space="preserve">D.0.2 </w:t>
      </w:r>
      <w:r>
        <w:rPr>
          <w:rFonts w:eastAsiaTheme="minorEastAsia"/>
          <w:color w:val="auto"/>
        </w:rPr>
        <w:t xml:space="preserve"> 试验应按下列步骤进行：</w:t>
      </w:r>
    </w:p>
    <w:p>
      <w:pPr>
        <w:ind w:firstLine="482" w:firstLineChars="200"/>
        <w:rPr>
          <w:rFonts w:eastAsiaTheme="minorEastAsia"/>
          <w:color w:val="auto"/>
        </w:rPr>
      </w:pPr>
      <w:r>
        <w:rPr>
          <w:b/>
          <w:color w:val="auto"/>
        </w:rPr>
        <w:t>1</w:t>
      </w:r>
      <w:r>
        <w:rPr>
          <w:rFonts w:eastAsiaTheme="minorEastAsia"/>
          <w:color w:val="auto"/>
        </w:rPr>
        <w:t xml:space="preserve">  试件的尺寸为600mm×600mm×100mm，试件的尺寸误差不应大于±2mm，试件的不平度不宜大于0.5mm/600mm，当不满足要求时宜用水泥砂浆修正使之满足要求；切割后的试件应立即置于水中养护不少于3d；</w:t>
      </w:r>
    </w:p>
    <w:p>
      <w:pPr>
        <w:ind w:firstLine="482" w:firstLineChars="200"/>
        <w:rPr>
          <w:rFonts w:eastAsiaTheme="minorEastAsia"/>
          <w:color w:val="auto"/>
        </w:rPr>
      </w:pPr>
      <w:r>
        <w:rPr>
          <w:b/>
          <w:color w:val="auto"/>
        </w:rPr>
        <w:t>2</w:t>
      </w:r>
      <w:r>
        <w:rPr>
          <w:rFonts w:eastAsiaTheme="minorEastAsia"/>
          <w:color w:val="auto"/>
        </w:rPr>
        <w:t xml:space="preserve">  试验应在试件标准养护至28d进行，试验过程中应保持表面湿润；</w:t>
      </w:r>
    </w:p>
    <w:p>
      <w:pPr>
        <w:ind w:firstLine="482" w:firstLineChars="200"/>
        <w:rPr>
          <w:rFonts w:eastAsiaTheme="minorEastAsia"/>
          <w:color w:val="auto"/>
        </w:rPr>
      </w:pPr>
      <w:r>
        <w:rPr>
          <w:b/>
          <w:color w:val="auto"/>
        </w:rPr>
        <w:t>3</w:t>
      </w:r>
      <w:r>
        <w:rPr>
          <w:rFonts w:eastAsiaTheme="minorEastAsia"/>
          <w:color w:val="auto"/>
        </w:rPr>
        <w:t xml:space="preserve">  将钢框平放在试验台上，并调整其水平度，然后将试件置于支座上，使其水平形成简支，试件的喷射面应朝下；</w:t>
      </w:r>
    </w:p>
    <w:p>
      <w:pPr>
        <w:ind w:firstLine="482" w:firstLineChars="200"/>
        <w:rPr>
          <w:rFonts w:eastAsiaTheme="minorEastAsia"/>
          <w:color w:val="auto"/>
        </w:rPr>
      </w:pPr>
      <w:r>
        <w:rPr>
          <w:b/>
          <w:color w:val="auto"/>
        </w:rPr>
        <w:t>4</w:t>
      </w:r>
      <w:r>
        <w:rPr>
          <w:rFonts w:eastAsiaTheme="minorEastAsia"/>
          <w:color w:val="auto"/>
        </w:rPr>
        <w:t xml:space="preserve">  加载垫块对试件中心进行加载，加载方向应与试件喷射方向相反。</w:t>
      </w:r>
    </w:p>
    <w:p>
      <w:pPr>
        <w:ind w:firstLine="482" w:firstLineChars="200"/>
        <w:rPr>
          <w:rFonts w:eastAsiaTheme="minorEastAsia"/>
          <w:color w:val="auto"/>
        </w:rPr>
      </w:pPr>
      <w:r>
        <w:rPr>
          <w:b/>
          <w:color w:val="auto"/>
        </w:rPr>
        <w:t>5</w:t>
      </w:r>
      <w:r>
        <w:rPr>
          <w:rFonts w:eastAsiaTheme="minorEastAsia"/>
          <w:color w:val="auto"/>
        </w:rPr>
        <w:t xml:space="preserve">  启动试验机，采用等速位移控制，控制速率为1.5mm/min,试验进行至试件中心点处扰度为25mm时止。</w:t>
      </w:r>
    </w:p>
    <w:p>
      <w:pPr>
        <w:ind w:firstLine="480" w:firstLineChars="200"/>
        <w:jc w:val="center"/>
        <w:rPr>
          <w:color w:val="auto"/>
        </w:rPr>
      </w:pPr>
      <w:r>
        <w:rPr>
          <w:color w:val="auto"/>
        </w:rPr>
        <w:object>
          <v:shape id="_x0000_i1045" o:spt="75" type="#_x0000_t75" style="height:204.6pt;width:200.3pt;" o:ole="t" filled="f" o:preferrelative="t" stroked="f" coordsize="21600,21600">
            <v:path/>
            <v:fill on="f" focussize="0,0"/>
            <v:stroke on="f" joinstyle="miter"/>
            <v:imagedata r:id="rId56" cropleft="19315f" cropright="15612f" cropbottom="10496f" o:title=""/>
            <o:lock v:ext="edit" aspectratio="t"/>
            <w10:wrap type="none"/>
            <w10:anchorlock/>
          </v:shape>
          <o:OLEObject Type="Embed" ProgID="ZWCAD.Drawing.2019" ShapeID="_x0000_i1045" DrawAspect="Content" ObjectID="_1468075745" r:id="rId55">
            <o:LockedField>false</o:LockedField>
          </o:OLEObject>
        </w:object>
      </w:r>
    </w:p>
    <w:p>
      <w:pPr>
        <w:tabs>
          <w:tab w:val="left" w:pos="585"/>
          <w:tab w:val="left" w:pos="2702"/>
          <w:tab w:val="left" w:pos="2822"/>
          <w:tab w:val="left" w:pos="2928"/>
        </w:tabs>
        <w:spacing w:after="100" w:afterAutospacing="1" w:line="400" w:lineRule="exact"/>
        <w:jc w:val="center"/>
        <w:rPr>
          <w:rFonts w:eastAsia="黑体"/>
          <w:bCs/>
          <w:color w:val="auto"/>
          <w:sz w:val="21"/>
          <w:szCs w:val="28"/>
        </w:rPr>
      </w:pPr>
      <w:r>
        <w:rPr>
          <w:rFonts w:eastAsia="黑体"/>
          <w:bCs/>
          <w:color w:val="auto"/>
          <w:sz w:val="21"/>
          <w:szCs w:val="28"/>
        </w:rPr>
        <w:t>图</w:t>
      </w:r>
      <w:r>
        <w:rPr>
          <w:rFonts w:hint="eastAsia" w:eastAsia="黑体"/>
          <w:bCs/>
          <w:color w:val="auto"/>
          <w:sz w:val="21"/>
          <w:szCs w:val="28"/>
        </w:rPr>
        <w:t>D</w:t>
      </w:r>
      <w:r>
        <w:rPr>
          <w:rFonts w:eastAsia="黑体"/>
          <w:bCs/>
          <w:color w:val="auto"/>
          <w:sz w:val="21"/>
          <w:szCs w:val="28"/>
        </w:rPr>
        <w:t xml:space="preserve"> .0.2四边简支板的加载方式（mm）</w:t>
      </w:r>
    </w:p>
    <w:p>
      <w:pPr>
        <w:rPr>
          <w:rFonts w:eastAsiaTheme="minorEastAsia"/>
          <w:color w:val="auto"/>
        </w:rPr>
      </w:pPr>
      <w:r>
        <w:rPr>
          <w:rFonts w:hint="eastAsia" w:eastAsia="黑体"/>
          <w:b/>
          <w:bCs/>
          <w:color w:val="auto"/>
          <w:szCs w:val="24"/>
        </w:rPr>
        <w:t>D</w:t>
      </w:r>
      <w:r>
        <w:rPr>
          <w:rFonts w:eastAsia="黑体"/>
          <w:b/>
          <w:bCs/>
          <w:color w:val="auto"/>
          <w:szCs w:val="24"/>
        </w:rPr>
        <w:t>.0.3</w:t>
      </w:r>
      <w:r>
        <w:rPr>
          <w:rFonts w:eastAsiaTheme="minorEastAsia"/>
          <w:color w:val="auto"/>
        </w:rPr>
        <w:t>试验结果处理应符合下列规定：</w:t>
      </w:r>
    </w:p>
    <w:p>
      <w:pPr>
        <w:ind w:firstLine="482" w:firstLineChars="200"/>
        <w:rPr>
          <w:rFonts w:eastAsiaTheme="minorEastAsia"/>
          <w:color w:val="auto"/>
        </w:rPr>
      </w:pPr>
      <w:r>
        <w:rPr>
          <w:b/>
          <w:color w:val="auto"/>
        </w:rPr>
        <w:t>1</w:t>
      </w:r>
      <w:r>
        <w:rPr>
          <w:rFonts w:eastAsiaTheme="minorEastAsia"/>
          <w:color w:val="auto"/>
        </w:rPr>
        <w:t xml:space="preserve">  根据试验，可得到“荷载-挠度”曲线图，试件吸收的能量为“荷载-挠度”曲线中挠度从0mm至25mm所覆盖的面积； </w:t>
      </w:r>
    </w:p>
    <w:p>
      <w:pPr>
        <w:ind w:firstLine="480" w:firstLineChars="200"/>
        <w:jc w:val="center"/>
        <w:rPr>
          <w:color w:val="auto"/>
          <w:sz w:val="30"/>
          <w:szCs w:val="30"/>
        </w:rPr>
      </w:pPr>
      <w:r>
        <w:rPr>
          <w:color w:val="auto"/>
        </w:rPr>
        <w:object>
          <v:shape id="_x0000_i1046" o:spt="75" type="#_x0000_t75" style="height:257.35pt;width:328.65pt;" o:ole="t" filled="f" o:preferrelative="t" stroked="f" coordsize="21600,21600">
            <v:path/>
            <v:fill on="f" focussize="0,0"/>
            <v:stroke on="f" joinstyle="miter"/>
            <v:imagedata r:id="rId58" cropleft="25698f" croptop="19305f" cropright="18972f" cropbottom="7559f" o:title=""/>
            <o:lock v:ext="edit" aspectratio="t"/>
            <w10:wrap type="none"/>
            <w10:anchorlock/>
          </v:shape>
          <o:OLEObject Type="Embed" ProgID="ZWCAD.Drawing.2019" ShapeID="_x0000_i1046" DrawAspect="Content" ObjectID="_1468075746" r:id="rId57">
            <o:LockedField>false</o:LockedField>
          </o:OLEObject>
        </w:object>
      </w:r>
    </w:p>
    <w:p>
      <w:pPr>
        <w:tabs>
          <w:tab w:val="left" w:pos="585"/>
          <w:tab w:val="left" w:pos="2702"/>
          <w:tab w:val="left" w:pos="2822"/>
          <w:tab w:val="left" w:pos="2928"/>
        </w:tabs>
        <w:spacing w:after="100" w:afterAutospacing="1" w:line="400" w:lineRule="exact"/>
        <w:jc w:val="center"/>
        <w:rPr>
          <w:rFonts w:eastAsia="黑体"/>
          <w:bCs/>
          <w:color w:val="auto"/>
          <w:sz w:val="21"/>
          <w:szCs w:val="28"/>
        </w:rPr>
      </w:pPr>
      <w:r>
        <w:rPr>
          <w:rFonts w:eastAsia="黑体"/>
          <w:bCs/>
          <w:color w:val="auto"/>
          <w:sz w:val="21"/>
          <w:szCs w:val="28"/>
        </w:rPr>
        <w:t>图</w:t>
      </w:r>
      <w:r>
        <w:rPr>
          <w:rFonts w:hint="eastAsia" w:eastAsia="黑体"/>
          <w:bCs/>
          <w:color w:val="auto"/>
          <w:sz w:val="21"/>
          <w:szCs w:val="28"/>
        </w:rPr>
        <w:t>D</w:t>
      </w:r>
      <w:r>
        <w:rPr>
          <w:rFonts w:eastAsia="黑体"/>
          <w:bCs/>
          <w:color w:val="auto"/>
          <w:sz w:val="21"/>
          <w:szCs w:val="28"/>
        </w:rPr>
        <w:t>.0.3</w:t>
      </w:r>
      <w:r>
        <w:rPr>
          <w:rFonts w:hint="eastAsia" w:eastAsia="黑体"/>
          <w:bCs/>
          <w:color w:val="auto"/>
          <w:sz w:val="21"/>
          <w:szCs w:val="28"/>
        </w:rPr>
        <w:t>-</w:t>
      </w:r>
      <w:r>
        <w:rPr>
          <w:rFonts w:eastAsia="黑体"/>
          <w:bCs/>
          <w:color w:val="auto"/>
          <w:sz w:val="21"/>
          <w:szCs w:val="28"/>
        </w:rPr>
        <w:t>1“荷载-挠度”曲线</w:t>
      </w:r>
    </w:p>
    <w:p>
      <w:pPr>
        <w:ind w:firstLine="482" w:firstLineChars="200"/>
        <w:rPr>
          <w:rFonts w:eastAsiaTheme="minorEastAsia"/>
          <w:color w:val="auto"/>
        </w:rPr>
      </w:pPr>
      <w:r>
        <w:rPr>
          <w:b/>
          <w:color w:val="auto"/>
        </w:rPr>
        <w:t>2</w:t>
      </w:r>
      <w:r>
        <w:rPr>
          <w:rFonts w:eastAsiaTheme="minorEastAsia"/>
          <w:color w:val="auto"/>
        </w:rPr>
        <w:t>根据“荷载-挠度”曲线用数值积分法获得试件的“能量-挠度”曲线</w:t>
      </w:r>
    </w:p>
    <w:p>
      <w:pPr>
        <w:ind w:firstLine="482" w:firstLineChars="200"/>
        <w:rPr>
          <w:rFonts w:eastAsiaTheme="minorEastAsia"/>
          <w:color w:val="auto"/>
        </w:rPr>
      </w:pPr>
      <w:r>
        <w:rPr>
          <w:b/>
          <w:color w:val="auto"/>
        </w:rPr>
        <w:t>3</w:t>
      </w:r>
      <w:r>
        <w:rPr>
          <w:rFonts w:eastAsiaTheme="minorEastAsia"/>
          <w:color w:val="auto"/>
        </w:rPr>
        <w:t xml:space="preserve">  “能量-挠度”曲线中，试件中心点挠度为25mm时对应的值为试件能量吸收值，单位符号为J。</w:t>
      </w:r>
    </w:p>
    <w:p>
      <w:pPr>
        <w:ind w:firstLine="480" w:firstLineChars="200"/>
        <w:jc w:val="center"/>
        <w:rPr>
          <w:color w:val="auto"/>
          <w:sz w:val="30"/>
          <w:szCs w:val="30"/>
        </w:rPr>
      </w:pPr>
      <w:r>
        <w:rPr>
          <w:color w:val="auto"/>
        </w:rPr>
        <w:object>
          <v:shape id="_x0000_i1047" o:spt="75" type="#_x0000_t75" style="height:207.45pt;width:239.5pt;" o:ole="t" filled="f" o:preferrelative="t" stroked="f" coordsize="21600,21600">
            <v:path/>
            <v:fill on="f" focussize="0,0"/>
            <v:stroke on="f" joinstyle="miter"/>
            <v:imagedata r:id="rId60" cropleft="13346f" croptop="7186f" cropright="17581f" cropbottom="10709f" o:title=""/>
            <o:lock v:ext="edit" aspectratio="t"/>
            <w10:wrap type="none"/>
            <w10:anchorlock/>
          </v:shape>
          <o:OLEObject Type="Embed" ProgID="ZWCAD.Drawing.2019" ShapeID="_x0000_i1047" DrawAspect="Content" ObjectID="_1468075747" r:id="rId59">
            <o:LockedField>false</o:LockedField>
          </o:OLEObject>
        </w:object>
      </w:r>
    </w:p>
    <w:p>
      <w:pPr>
        <w:tabs>
          <w:tab w:val="left" w:pos="585"/>
          <w:tab w:val="left" w:pos="2702"/>
          <w:tab w:val="left" w:pos="2822"/>
          <w:tab w:val="left" w:pos="2928"/>
        </w:tabs>
        <w:spacing w:after="100" w:afterAutospacing="1" w:line="400" w:lineRule="exact"/>
        <w:jc w:val="center"/>
        <w:rPr>
          <w:rFonts w:eastAsia="黑体"/>
          <w:bCs/>
          <w:color w:val="auto"/>
          <w:sz w:val="21"/>
          <w:szCs w:val="28"/>
        </w:rPr>
      </w:pPr>
      <w:r>
        <w:rPr>
          <w:rFonts w:eastAsia="黑体"/>
          <w:bCs/>
          <w:color w:val="auto"/>
          <w:sz w:val="21"/>
          <w:szCs w:val="28"/>
        </w:rPr>
        <w:t>图</w:t>
      </w:r>
      <w:r>
        <w:rPr>
          <w:rFonts w:hint="eastAsia" w:eastAsia="黑体"/>
          <w:bCs/>
          <w:color w:val="auto"/>
          <w:sz w:val="21"/>
          <w:szCs w:val="28"/>
        </w:rPr>
        <w:t>D</w:t>
      </w:r>
      <w:r>
        <w:rPr>
          <w:rFonts w:eastAsia="黑体"/>
          <w:bCs/>
          <w:color w:val="auto"/>
          <w:sz w:val="21"/>
          <w:szCs w:val="28"/>
        </w:rPr>
        <w:t>.0.3</w:t>
      </w:r>
      <w:r>
        <w:rPr>
          <w:rFonts w:hint="eastAsia" w:eastAsia="黑体"/>
          <w:bCs/>
          <w:color w:val="auto"/>
          <w:sz w:val="21"/>
          <w:szCs w:val="28"/>
        </w:rPr>
        <w:t>-2</w:t>
      </w:r>
      <w:r>
        <w:rPr>
          <w:rFonts w:eastAsia="黑体"/>
          <w:bCs/>
          <w:color w:val="auto"/>
          <w:sz w:val="21"/>
          <w:szCs w:val="28"/>
        </w:rPr>
        <w:t>“能量-挠度”曲线</w:t>
      </w:r>
    </w:p>
    <w:p>
      <w:pPr>
        <w:rPr>
          <w:color w:val="auto"/>
          <w:szCs w:val="28"/>
        </w:rPr>
      </w:pPr>
      <w:r>
        <w:rPr>
          <w:rFonts w:hint="eastAsia" w:eastAsia="黑体"/>
          <w:b/>
          <w:bCs/>
          <w:color w:val="auto"/>
          <w:szCs w:val="24"/>
        </w:rPr>
        <w:t>D</w:t>
      </w:r>
      <w:r>
        <w:rPr>
          <w:rFonts w:eastAsia="黑体"/>
          <w:b/>
          <w:bCs/>
          <w:color w:val="auto"/>
          <w:szCs w:val="24"/>
        </w:rPr>
        <w:t>.0.4</w:t>
      </w:r>
      <w:r>
        <w:rPr>
          <w:rFonts w:eastAsiaTheme="minorEastAsia"/>
          <w:color w:val="auto"/>
        </w:rPr>
        <w:t>湿喷混凝土能量吸收等级试验报告应包含试验仪器的型号、试件编号、试件尺寸、养护条件、试验龄期、“能量-挠度”曲线、第一次开裂荷载、最大荷载、试件中心点挠度为25mm时的能量吸收值。</w:t>
      </w:r>
    </w:p>
    <w:p>
      <w:pPr>
        <w:pStyle w:val="2"/>
        <w:spacing w:before="600" w:beforeLines="0" w:after="600" w:afterLines="0"/>
        <w:rPr>
          <w:color w:val="auto"/>
        </w:rPr>
      </w:pPr>
      <w:r>
        <w:rPr>
          <w:color w:val="auto"/>
          <w:sz w:val="28"/>
          <w:szCs w:val="28"/>
        </w:rPr>
        <w:br w:type="page"/>
      </w:r>
      <w:bookmarkStart w:id="95" w:name="_Toc535781466"/>
      <w:bookmarkStart w:id="96" w:name="_Toc529969583"/>
      <w:bookmarkStart w:id="97" w:name="_Toc534722425"/>
      <w:bookmarkStart w:id="98" w:name="_Toc1658265"/>
      <w:r>
        <w:rPr>
          <w:color w:val="auto"/>
        </w:rPr>
        <w:t>附录E 湿喷混凝土回弹率试验</w:t>
      </w:r>
      <w:bookmarkEnd w:id="95"/>
      <w:bookmarkEnd w:id="96"/>
      <w:bookmarkEnd w:id="97"/>
      <w:bookmarkEnd w:id="98"/>
    </w:p>
    <w:p>
      <w:pPr>
        <w:pStyle w:val="48"/>
        <w:ind w:firstLine="0"/>
        <w:rPr>
          <w:color w:val="auto"/>
          <w:szCs w:val="28"/>
        </w:rPr>
      </w:pPr>
      <w:r>
        <w:rPr>
          <w:rFonts w:eastAsia="黑体"/>
          <w:b/>
          <w:bCs/>
          <w:color w:val="auto"/>
          <w:szCs w:val="24"/>
        </w:rPr>
        <w:t>E.0.1</w:t>
      </w:r>
      <w:r>
        <w:rPr>
          <w:color w:val="auto"/>
          <w:szCs w:val="28"/>
        </w:rPr>
        <w:t xml:space="preserve">  湿喷混凝土回弹率试验应使用下列仪器：</w:t>
      </w:r>
    </w:p>
    <w:p>
      <w:pPr>
        <w:pStyle w:val="48"/>
        <w:ind w:firstLine="482" w:firstLineChars="200"/>
        <w:rPr>
          <w:color w:val="auto"/>
          <w:szCs w:val="28"/>
        </w:rPr>
      </w:pPr>
      <w:r>
        <w:rPr>
          <w:b/>
          <w:color w:val="auto"/>
        </w:rPr>
        <w:t>1</w:t>
      </w:r>
      <w:r>
        <w:rPr>
          <w:color w:val="auto"/>
          <w:szCs w:val="28"/>
        </w:rPr>
        <w:t xml:space="preserve">  搅拌机，容积应大于1m</w:t>
      </w:r>
      <w:r>
        <w:rPr>
          <w:color w:val="auto"/>
          <w:szCs w:val="28"/>
          <w:vertAlign w:val="superscript"/>
        </w:rPr>
        <w:t>3</w:t>
      </w:r>
      <w:r>
        <w:rPr>
          <w:color w:val="auto"/>
          <w:szCs w:val="28"/>
        </w:rPr>
        <w:t>；</w:t>
      </w:r>
    </w:p>
    <w:p>
      <w:pPr>
        <w:pStyle w:val="48"/>
        <w:ind w:firstLine="482" w:firstLineChars="200"/>
        <w:rPr>
          <w:color w:val="auto"/>
          <w:szCs w:val="28"/>
        </w:rPr>
      </w:pPr>
      <w:r>
        <w:rPr>
          <w:b/>
          <w:color w:val="auto"/>
        </w:rPr>
        <w:t>2</w:t>
      </w:r>
      <w:r>
        <w:rPr>
          <w:color w:val="auto"/>
          <w:szCs w:val="28"/>
        </w:rPr>
        <w:t xml:space="preserve">  喷射设备；</w:t>
      </w:r>
    </w:p>
    <w:p>
      <w:pPr>
        <w:pStyle w:val="48"/>
        <w:ind w:firstLine="482" w:firstLineChars="200"/>
        <w:rPr>
          <w:color w:val="auto"/>
          <w:szCs w:val="28"/>
        </w:rPr>
      </w:pPr>
      <w:r>
        <w:rPr>
          <w:b/>
          <w:color w:val="auto"/>
        </w:rPr>
        <w:t>3</w:t>
      </w:r>
      <w:r>
        <w:rPr>
          <w:color w:val="auto"/>
          <w:szCs w:val="28"/>
        </w:rPr>
        <w:t xml:space="preserve">  塑料膜，面积为40m</w:t>
      </w:r>
      <w:r>
        <w:rPr>
          <w:color w:val="auto"/>
          <w:szCs w:val="28"/>
          <w:vertAlign w:val="superscript"/>
        </w:rPr>
        <w:t>2</w:t>
      </w:r>
      <w:r>
        <w:rPr>
          <w:color w:val="auto"/>
          <w:szCs w:val="28"/>
        </w:rPr>
        <w:t>～50m</w:t>
      </w:r>
      <w:r>
        <w:rPr>
          <w:color w:val="auto"/>
          <w:szCs w:val="28"/>
          <w:vertAlign w:val="superscript"/>
        </w:rPr>
        <w:t>2</w:t>
      </w:r>
      <w:r>
        <w:rPr>
          <w:color w:val="auto"/>
          <w:szCs w:val="28"/>
        </w:rPr>
        <w:t>；</w:t>
      </w:r>
    </w:p>
    <w:p>
      <w:pPr>
        <w:pStyle w:val="48"/>
        <w:ind w:firstLine="482" w:firstLineChars="200"/>
        <w:rPr>
          <w:color w:val="auto"/>
          <w:szCs w:val="28"/>
        </w:rPr>
      </w:pPr>
      <w:r>
        <w:rPr>
          <w:b/>
          <w:color w:val="auto"/>
        </w:rPr>
        <w:t>4</w:t>
      </w:r>
      <w:r>
        <w:rPr>
          <w:color w:val="auto"/>
          <w:szCs w:val="28"/>
        </w:rPr>
        <w:t xml:space="preserve">  电子秤或机械称，量程500kg～3000kg，分度值200g～1000g。</w:t>
      </w:r>
    </w:p>
    <w:p>
      <w:pPr>
        <w:pStyle w:val="48"/>
        <w:ind w:firstLine="0"/>
        <w:rPr>
          <w:color w:val="auto"/>
          <w:szCs w:val="28"/>
        </w:rPr>
      </w:pPr>
      <w:r>
        <w:rPr>
          <w:rFonts w:eastAsia="黑体"/>
          <w:b/>
          <w:bCs/>
          <w:color w:val="auto"/>
          <w:szCs w:val="24"/>
        </w:rPr>
        <w:t>E.0.2</w:t>
      </w:r>
      <w:r>
        <w:rPr>
          <w:color w:val="auto"/>
          <w:szCs w:val="28"/>
        </w:rPr>
        <w:t xml:space="preserve">  试验应按下列步骤进行：</w:t>
      </w:r>
    </w:p>
    <w:p>
      <w:pPr>
        <w:pStyle w:val="48"/>
        <w:ind w:firstLine="482" w:firstLineChars="200"/>
        <w:rPr>
          <w:color w:val="auto"/>
          <w:szCs w:val="28"/>
        </w:rPr>
      </w:pPr>
      <w:r>
        <w:rPr>
          <w:b/>
          <w:color w:val="auto"/>
        </w:rPr>
        <w:t>1</w:t>
      </w:r>
      <w:r>
        <w:rPr>
          <w:color w:val="auto"/>
          <w:szCs w:val="28"/>
        </w:rPr>
        <w:t xml:space="preserve">  用塑料膜在待喷面下方地面覆盖40m</w:t>
      </w:r>
      <w:r>
        <w:rPr>
          <w:color w:val="auto"/>
          <w:szCs w:val="28"/>
          <w:vertAlign w:val="superscript"/>
        </w:rPr>
        <w:t>2</w:t>
      </w:r>
      <w:r>
        <w:rPr>
          <w:color w:val="auto"/>
          <w:szCs w:val="28"/>
        </w:rPr>
        <w:t>～50m</w:t>
      </w:r>
      <w:r>
        <w:rPr>
          <w:color w:val="auto"/>
          <w:szCs w:val="28"/>
          <w:vertAlign w:val="superscript"/>
        </w:rPr>
        <w:t>2</w:t>
      </w:r>
      <w:r>
        <w:rPr>
          <w:color w:val="auto"/>
          <w:szCs w:val="28"/>
        </w:rPr>
        <w:t>的区域。</w:t>
      </w:r>
    </w:p>
    <w:p>
      <w:pPr>
        <w:pStyle w:val="48"/>
        <w:ind w:firstLine="482" w:firstLineChars="200"/>
        <w:rPr>
          <w:color w:val="auto"/>
          <w:szCs w:val="28"/>
        </w:rPr>
      </w:pPr>
      <w:r>
        <w:rPr>
          <w:b/>
          <w:color w:val="auto"/>
        </w:rPr>
        <w:t>2</w:t>
      </w:r>
      <w:r>
        <w:rPr>
          <w:color w:val="auto"/>
          <w:szCs w:val="28"/>
        </w:rPr>
        <w:t xml:space="preserve">  拌制不少于1m</w:t>
      </w:r>
      <w:r>
        <w:rPr>
          <w:color w:val="auto"/>
          <w:szCs w:val="28"/>
          <w:vertAlign w:val="superscript"/>
        </w:rPr>
        <w:t>3</w:t>
      </w:r>
      <w:r>
        <w:rPr>
          <w:color w:val="auto"/>
          <w:szCs w:val="28"/>
        </w:rPr>
        <w:t>混凝土拌和物，送入喷射设备，待喷射出料稳定后开始进行测试。喷嘴应与受喷面保持90°夹角，喷嘴与喷射面的距离宜1.0m～2.0m进行选择。喷射总厚度为100mm～120mm，分两层喷射，每层厚度为40mm～60mm。喷射过程需保证连续不中断，料斗里混凝土在测试开始和结束时需保持均匀一致。</w:t>
      </w:r>
    </w:p>
    <w:p>
      <w:pPr>
        <w:pStyle w:val="48"/>
        <w:ind w:firstLine="482" w:firstLineChars="200"/>
        <w:rPr>
          <w:color w:val="auto"/>
          <w:szCs w:val="28"/>
        </w:rPr>
      </w:pPr>
      <w:r>
        <w:rPr>
          <w:b/>
          <w:color w:val="auto"/>
        </w:rPr>
        <w:t>3</w:t>
      </w:r>
      <w:r>
        <w:rPr>
          <w:color w:val="auto"/>
          <w:szCs w:val="28"/>
        </w:rPr>
        <w:t xml:space="preserve">  喷射结束后，从塑料膜上收集回弹料，并进行称重。</w:t>
      </w:r>
    </w:p>
    <w:p>
      <w:pPr>
        <w:pStyle w:val="48"/>
        <w:ind w:firstLine="482" w:firstLineChars="200"/>
        <w:rPr>
          <w:color w:val="auto"/>
          <w:szCs w:val="28"/>
        </w:rPr>
      </w:pPr>
      <w:r>
        <w:rPr>
          <w:b/>
          <w:color w:val="auto"/>
        </w:rPr>
        <w:t>4</w:t>
      </w:r>
      <w:r>
        <w:rPr>
          <w:color w:val="auto"/>
          <w:szCs w:val="28"/>
        </w:rPr>
        <w:t xml:space="preserve">  回弹料与总喷出拌和物的质量百分比即为喷射回弹率。总喷出拌和物应扣除喷射稳定前喷射量。</w:t>
      </w:r>
    </w:p>
    <w:p>
      <w:pPr>
        <w:pStyle w:val="2"/>
        <w:spacing w:before="600" w:beforeLines="0" w:after="600" w:afterLines="0"/>
        <w:rPr>
          <w:color w:val="auto"/>
        </w:rPr>
      </w:pPr>
      <w:r>
        <w:rPr>
          <w:color w:val="auto"/>
          <w:sz w:val="28"/>
          <w:szCs w:val="28"/>
        </w:rPr>
        <w:br w:type="page"/>
      </w:r>
      <w:bookmarkStart w:id="99" w:name="_Toc529969584"/>
      <w:bookmarkStart w:id="100" w:name="_Toc535781467"/>
      <w:bookmarkStart w:id="101" w:name="_Toc534722426"/>
      <w:bookmarkStart w:id="102" w:name="_Toc1658266"/>
      <w:r>
        <w:rPr>
          <w:color w:val="auto"/>
        </w:rPr>
        <w:t>附录F 射钉法试验</w:t>
      </w:r>
      <w:bookmarkEnd w:id="99"/>
      <w:bookmarkEnd w:id="100"/>
      <w:bookmarkEnd w:id="101"/>
      <w:bookmarkEnd w:id="102"/>
    </w:p>
    <w:p>
      <w:pPr>
        <w:rPr>
          <w:color w:val="auto"/>
          <w:szCs w:val="28"/>
        </w:rPr>
      </w:pPr>
      <w:r>
        <w:rPr>
          <w:rFonts w:eastAsia="黑体"/>
          <w:b/>
          <w:bCs/>
          <w:color w:val="auto"/>
          <w:szCs w:val="24"/>
        </w:rPr>
        <w:t>F.0.1</w:t>
      </w:r>
      <w:r>
        <w:rPr>
          <w:rFonts w:hint="eastAsia"/>
          <w:color w:val="auto"/>
          <w:szCs w:val="28"/>
        </w:rPr>
        <w:t>湿喷混凝土早期强度检测要求。</w:t>
      </w:r>
    </w:p>
    <w:p>
      <w:pPr>
        <w:ind w:firstLine="482" w:firstLineChars="200"/>
        <w:rPr>
          <w:color w:val="auto"/>
          <w:szCs w:val="28"/>
        </w:rPr>
      </w:pPr>
      <w:r>
        <w:rPr>
          <w:b/>
          <w:color w:val="auto"/>
        </w:rPr>
        <w:t>1</w:t>
      </w:r>
      <w:r>
        <w:rPr>
          <w:color w:val="auto"/>
          <w:szCs w:val="28"/>
        </w:rPr>
        <w:t xml:space="preserve">  射钉法适用于检测湿喷混凝土1d的强度。</w:t>
      </w:r>
    </w:p>
    <w:p>
      <w:pPr>
        <w:ind w:firstLine="482" w:firstLineChars="200"/>
        <w:rPr>
          <w:color w:val="auto"/>
          <w:szCs w:val="28"/>
        </w:rPr>
      </w:pPr>
      <w:r>
        <w:rPr>
          <w:b/>
          <w:color w:val="auto"/>
        </w:rPr>
        <w:t>2</w:t>
      </w:r>
      <w:r>
        <w:rPr>
          <w:color w:val="auto"/>
          <w:szCs w:val="28"/>
        </w:rPr>
        <w:t xml:space="preserve">  采用射钉法检测时，每次检测不少于2个测区，测区面积宜控制在0.03m</w:t>
      </w:r>
      <w:r>
        <w:rPr>
          <w:color w:val="auto"/>
          <w:szCs w:val="28"/>
          <w:vertAlign w:val="superscript"/>
        </w:rPr>
        <w:t>2</w:t>
      </w:r>
      <w:r>
        <w:rPr>
          <w:color w:val="auto"/>
          <w:szCs w:val="28"/>
        </w:rPr>
        <w:t>～0.04m</w:t>
      </w:r>
      <w:r>
        <w:rPr>
          <w:color w:val="auto"/>
          <w:szCs w:val="28"/>
          <w:vertAlign w:val="superscript"/>
        </w:rPr>
        <w:t>2</w:t>
      </w:r>
      <w:r>
        <w:rPr>
          <w:color w:val="auto"/>
          <w:szCs w:val="28"/>
        </w:rPr>
        <w:t>，相邻两测区的间距不宜小于0.3m，且不宜大于2m。测区应避开蜂窝、麻面、钢筋和预埋件等。</w:t>
      </w:r>
    </w:p>
    <w:p>
      <w:pPr>
        <w:ind w:firstLine="482" w:firstLineChars="200"/>
        <w:rPr>
          <w:color w:val="auto"/>
          <w:szCs w:val="28"/>
        </w:rPr>
      </w:pPr>
      <w:r>
        <w:rPr>
          <w:b/>
          <w:color w:val="auto"/>
        </w:rPr>
        <w:t>3</w:t>
      </w:r>
      <w:r>
        <w:rPr>
          <w:color w:val="auto"/>
          <w:szCs w:val="28"/>
        </w:rPr>
        <w:t xml:space="preserve">  测点在测区内宜均匀分布，相邻两测点的净距不宜小于30mm；测点距外露钢筋、预埋件的距离不宜小于50mm。</w:t>
      </w:r>
    </w:p>
    <w:p>
      <w:pPr>
        <w:ind w:firstLine="482" w:firstLineChars="200"/>
        <w:rPr>
          <w:color w:val="auto"/>
          <w:szCs w:val="28"/>
        </w:rPr>
      </w:pPr>
      <w:r>
        <w:rPr>
          <w:b/>
          <w:color w:val="auto"/>
        </w:rPr>
        <w:t>4</w:t>
      </w:r>
      <w:r>
        <w:rPr>
          <w:color w:val="auto"/>
          <w:szCs w:val="28"/>
        </w:rPr>
        <w:t xml:space="preserve">  检测环境温度应为0℃～40℃。</w:t>
      </w:r>
    </w:p>
    <w:p>
      <w:pPr>
        <w:rPr>
          <w:color w:val="auto"/>
          <w:szCs w:val="28"/>
        </w:rPr>
      </w:pPr>
      <w:r>
        <w:rPr>
          <w:rFonts w:eastAsia="黑体"/>
          <w:b/>
          <w:bCs/>
          <w:color w:val="auto"/>
          <w:szCs w:val="24"/>
        </w:rPr>
        <w:t>F.0.2</w:t>
      </w:r>
      <w:r>
        <w:rPr>
          <w:rFonts w:hint="eastAsia"/>
          <w:color w:val="auto"/>
          <w:szCs w:val="28"/>
        </w:rPr>
        <w:t>试验使用的</w:t>
      </w:r>
      <w:r>
        <w:rPr>
          <w:color w:val="auto"/>
          <w:szCs w:val="28"/>
        </w:rPr>
        <w:t>主要仪器</w:t>
      </w:r>
      <w:r>
        <w:rPr>
          <w:rFonts w:hint="eastAsia"/>
          <w:color w:val="auto"/>
          <w:szCs w:val="28"/>
        </w:rPr>
        <w:t>及参数：</w:t>
      </w:r>
    </w:p>
    <w:p>
      <w:pPr>
        <w:ind w:firstLine="482" w:firstLineChars="200"/>
        <w:rPr>
          <w:color w:val="auto"/>
          <w:szCs w:val="28"/>
        </w:rPr>
      </w:pPr>
      <w:r>
        <w:rPr>
          <w:b/>
          <w:color w:val="auto"/>
          <w:szCs w:val="28"/>
        </w:rPr>
        <w:t>1</w:t>
      </w:r>
      <w:r>
        <w:rPr>
          <w:color w:val="auto"/>
          <w:szCs w:val="28"/>
        </w:rPr>
        <w:t xml:space="preserve">  测钉射入力为1000N±8N，工作冲程为20mm±0.1mm；</w:t>
      </w:r>
    </w:p>
    <w:p>
      <w:pPr>
        <w:ind w:firstLine="482" w:firstLineChars="200"/>
        <w:rPr>
          <w:color w:val="auto"/>
          <w:szCs w:val="28"/>
        </w:rPr>
      </w:pPr>
      <w:r>
        <w:rPr>
          <w:b/>
          <w:color w:val="auto"/>
          <w:szCs w:val="28"/>
        </w:rPr>
        <w:t>2</w:t>
      </w:r>
      <w:r>
        <w:rPr>
          <w:color w:val="auto"/>
          <w:szCs w:val="28"/>
        </w:rPr>
        <w:t xml:space="preserve">  测钉直径为3.00mm～3.50mm，精确至0.01mm，测钉长度为35.0mm～40.0mm，精确至0.1mm，测钉钉尖长度为5.0mm±0.01mm（测钉尖角度34°），测钉洛氏硬度（HRC）为62～66；</w:t>
      </w:r>
    </w:p>
    <w:p>
      <w:pPr>
        <w:ind w:firstLine="482" w:firstLineChars="200"/>
        <w:rPr>
          <w:color w:val="auto"/>
          <w:szCs w:val="28"/>
        </w:rPr>
      </w:pPr>
      <w:r>
        <w:rPr>
          <w:b/>
          <w:color w:val="auto"/>
          <w:szCs w:val="28"/>
        </w:rPr>
        <w:t>3</w:t>
      </w:r>
      <w:r>
        <w:rPr>
          <w:color w:val="auto"/>
          <w:szCs w:val="28"/>
        </w:rPr>
        <w:t xml:space="preserve"> 深度测量尺精度为0.01mm；</w:t>
      </w:r>
    </w:p>
    <w:p>
      <w:pPr>
        <w:ind w:firstLine="482" w:firstLineChars="200"/>
        <w:rPr>
          <w:color w:val="auto"/>
          <w:szCs w:val="28"/>
        </w:rPr>
      </w:pPr>
      <w:r>
        <w:rPr>
          <w:b/>
          <w:color w:val="auto"/>
          <w:szCs w:val="28"/>
        </w:rPr>
        <w:t>4</w:t>
      </w:r>
      <w:r>
        <w:rPr>
          <w:color w:val="auto"/>
          <w:szCs w:val="28"/>
        </w:rPr>
        <w:t xml:space="preserve">  量规槽长度小于测钉长度0.5mm。</w:t>
      </w:r>
    </w:p>
    <w:p>
      <w:pPr>
        <w:rPr>
          <w:color w:val="auto"/>
          <w:szCs w:val="28"/>
        </w:rPr>
      </w:pPr>
      <w:r>
        <w:rPr>
          <w:rFonts w:eastAsia="黑体"/>
          <w:b/>
          <w:bCs/>
          <w:color w:val="auto"/>
          <w:szCs w:val="24"/>
        </w:rPr>
        <w:t>F.0.3</w:t>
      </w:r>
      <w:r>
        <w:rPr>
          <w:color w:val="auto"/>
          <w:szCs w:val="28"/>
        </w:rPr>
        <w:t xml:space="preserve">  射钉法检测</w:t>
      </w:r>
      <w:r>
        <w:rPr>
          <w:rFonts w:hint="eastAsia"/>
          <w:color w:val="auto"/>
          <w:szCs w:val="28"/>
        </w:rPr>
        <w:t>步骤：</w:t>
      </w:r>
    </w:p>
    <w:p>
      <w:pPr>
        <w:ind w:firstLine="482" w:firstLineChars="200"/>
        <w:rPr>
          <w:color w:val="auto"/>
          <w:szCs w:val="28"/>
        </w:rPr>
      </w:pPr>
      <w:r>
        <w:rPr>
          <w:b/>
          <w:color w:val="auto"/>
        </w:rPr>
        <w:t>1</w:t>
      </w:r>
      <w:r>
        <w:rPr>
          <w:color w:val="auto"/>
          <w:szCs w:val="28"/>
        </w:rPr>
        <w:t xml:space="preserve">  检测前，应将混凝土表面打磨平整，并清除表面灰尘。</w:t>
      </w:r>
    </w:p>
    <w:p>
      <w:pPr>
        <w:ind w:firstLine="482" w:firstLineChars="200"/>
        <w:rPr>
          <w:color w:val="auto"/>
          <w:szCs w:val="28"/>
        </w:rPr>
      </w:pPr>
      <w:r>
        <w:rPr>
          <w:b/>
          <w:color w:val="auto"/>
        </w:rPr>
        <w:t>2</w:t>
      </w:r>
      <w:r>
        <w:rPr>
          <w:color w:val="auto"/>
          <w:szCs w:val="28"/>
        </w:rPr>
        <w:t xml:space="preserve">  检测时，将射钉仪轴线与混凝土测试面垂直，用力握住把手，防止反冲。扣动扳机，使射钉仪自由释放能量。移开射钉仪，用吹风器吹净测孔，测量射入深度值，每一测区应记取7个有效射入深度值，读数精确至0.01mm。可按本附录中H.0.1填写记录。</w:t>
      </w:r>
    </w:p>
    <w:p>
      <w:pPr>
        <w:ind w:firstLine="482" w:firstLineChars="200"/>
        <w:rPr>
          <w:color w:val="auto"/>
          <w:szCs w:val="28"/>
        </w:rPr>
      </w:pPr>
      <w:r>
        <w:rPr>
          <w:b/>
          <w:color w:val="auto"/>
        </w:rPr>
        <w:t>3</w:t>
      </w:r>
      <w:r>
        <w:rPr>
          <w:color w:val="auto"/>
          <w:szCs w:val="28"/>
        </w:rPr>
        <w:t xml:space="preserve">  在检测过程中，应随时检查测钉的磨损情况，当测钉能通过量规槽时，应更换测钉。</w:t>
      </w:r>
    </w:p>
    <w:p>
      <w:pPr>
        <w:ind w:firstLine="482" w:firstLineChars="200"/>
        <w:rPr>
          <w:color w:val="auto"/>
          <w:szCs w:val="28"/>
        </w:rPr>
      </w:pPr>
      <w:r>
        <w:rPr>
          <w:b/>
          <w:color w:val="auto"/>
        </w:rPr>
        <w:t>4</w:t>
      </w:r>
      <w:r>
        <w:rPr>
          <w:color w:val="auto"/>
          <w:szCs w:val="28"/>
        </w:rPr>
        <w:t xml:space="preserve">  当发生下列情况之一时，将该值舍去，在其附近重新补测。</w:t>
      </w:r>
    </w:p>
    <w:p>
      <w:pPr>
        <w:ind w:firstLine="480" w:firstLineChars="200"/>
        <w:rPr>
          <w:color w:val="auto"/>
          <w:szCs w:val="28"/>
        </w:rPr>
      </w:pPr>
      <w:r>
        <w:rPr>
          <w:color w:val="auto"/>
          <w:szCs w:val="28"/>
        </w:rPr>
        <w:t>1</w:t>
      </w:r>
      <w:r>
        <w:rPr>
          <w:rFonts w:hint="eastAsia"/>
          <w:color w:val="auto"/>
          <w:szCs w:val="28"/>
        </w:rPr>
        <w:t>）</w:t>
      </w:r>
      <w:r>
        <w:rPr>
          <w:color w:val="auto"/>
          <w:szCs w:val="28"/>
        </w:rPr>
        <w:t xml:space="preserve">  测钉射入到钢筋或预埋件上时；</w:t>
      </w:r>
    </w:p>
    <w:p>
      <w:pPr>
        <w:ind w:firstLine="480" w:firstLineChars="200"/>
        <w:rPr>
          <w:color w:val="auto"/>
          <w:szCs w:val="28"/>
        </w:rPr>
      </w:pPr>
      <w:r>
        <w:rPr>
          <w:color w:val="auto"/>
          <w:szCs w:val="28"/>
        </w:rPr>
        <w:t>2</w:t>
      </w:r>
      <w:r>
        <w:rPr>
          <w:rFonts w:hint="eastAsia"/>
          <w:color w:val="auto"/>
          <w:szCs w:val="28"/>
        </w:rPr>
        <w:t>）</w:t>
      </w:r>
      <w:r>
        <w:rPr>
          <w:color w:val="auto"/>
          <w:szCs w:val="28"/>
        </w:rPr>
        <w:t xml:space="preserve"> 测钉射入到骨料、蜂窝或孔隙内时；</w:t>
      </w:r>
    </w:p>
    <w:p>
      <w:pPr>
        <w:ind w:firstLine="480" w:firstLineChars="200"/>
        <w:rPr>
          <w:color w:val="auto"/>
          <w:szCs w:val="28"/>
        </w:rPr>
      </w:pPr>
      <w:r>
        <w:rPr>
          <w:color w:val="auto"/>
          <w:szCs w:val="28"/>
        </w:rPr>
        <w:t>3</w:t>
      </w:r>
      <w:r>
        <w:rPr>
          <w:rFonts w:hint="eastAsia"/>
          <w:color w:val="auto"/>
          <w:szCs w:val="28"/>
        </w:rPr>
        <w:t>）</w:t>
      </w:r>
      <w:r>
        <w:rPr>
          <w:color w:val="auto"/>
          <w:szCs w:val="28"/>
        </w:rPr>
        <w:t xml:space="preserve"> 测量值的极差超过1.6mm时，剔除7个测量值中与平均值偏差最大的数据，至所剩测量值极差满足要求且不少于7个。</w:t>
      </w:r>
    </w:p>
    <w:p>
      <w:pPr>
        <w:ind w:firstLine="480" w:firstLineChars="200"/>
        <w:rPr>
          <w:color w:val="auto"/>
          <w:szCs w:val="28"/>
        </w:rPr>
      </w:pPr>
      <w:r>
        <w:rPr>
          <w:color w:val="auto"/>
          <w:szCs w:val="28"/>
        </w:rPr>
        <w:t>4</w:t>
      </w:r>
      <w:r>
        <w:rPr>
          <w:rFonts w:hint="eastAsia"/>
          <w:color w:val="auto"/>
          <w:szCs w:val="28"/>
        </w:rPr>
        <w:t>）</w:t>
      </w:r>
      <w:r>
        <w:rPr>
          <w:color w:val="auto"/>
          <w:szCs w:val="28"/>
        </w:rPr>
        <w:t xml:space="preserve">  射钉法检测应在1h内完成。</w:t>
      </w:r>
    </w:p>
    <w:p>
      <w:pPr>
        <w:rPr>
          <w:color w:val="auto"/>
          <w:szCs w:val="28"/>
        </w:rPr>
      </w:pPr>
      <w:r>
        <w:rPr>
          <w:rFonts w:eastAsia="黑体"/>
          <w:b/>
          <w:bCs/>
          <w:color w:val="auto"/>
          <w:szCs w:val="24"/>
        </w:rPr>
        <w:t>F.0.4</w:t>
      </w:r>
      <w:r>
        <w:rPr>
          <w:color w:val="auto"/>
          <w:szCs w:val="28"/>
        </w:rPr>
        <w:t xml:space="preserve">  混凝土强度换算及推定</w:t>
      </w:r>
    </w:p>
    <w:p>
      <w:pPr>
        <w:ind w:firstLine="482" w:firstLineChars="200"/>
        <w:rPr>
          <w:color w:val="auto"/>
          <w:szCs w:val="28"/>
        </w:rPr>
      </w:pPr>
      <w:r>
        <w:rPr>
          <w:b/>
          <w:color w:val="auto"/>
        </w:rPr>
        <w:t>1</w:t>
      </w:r>
      <w:r>
        <w:rPr>
          <w:color w:val="auto"/>
          <w:szCs w:val="28"/>
        </w:rPr>
        <w:t xml:space="preserve">  计算测区平均射入深度值时，应从该测区7个射入深度值中剔除1个最大值和1个最小值后，按下式计算平均射入深度值：</w:t>
      </w:r>
    </w:p>
    <w:p>
      <w:pPr>
        <w:ind w:firstLine="360" w:firstLineChars="150"/>
        <w:jc w:val="right"/>
        <w:rPr>
          <w:color w:val="auto"/>
          <w:sz w:val="28"/>
          <w:szCs w:val="28"/>
        </w:rPr>
      </w:pPr>
      <m:oMath>
        <m:r>
          <w:rPr>
            <w:rFonts w:ascii="Cambria Math" w:hAnsi="Cambria Math"/>
            <w:color w:val="auto"/>
          </w:rPr>
          <m:t>La=</m:t>
        </m:r>
        <m:f>
          <m:fPr>
            <m:ctrlPr>
              <w:rPr>
                <w:rFonts w:ascii="Cambria Math" w:hAnsi="Cambria Math"/>
                <w:i/>
                <w:color w:val="auto"/>
              </w:rPr>
            </m:ctrlPr>
          </m:fPr>
          <m:num>
            <m:nary>
              <m:naryPr>
                <m:chr m:val="∑"/>
                <m:grow m:val="1"/>
                <m:limLoc m:val="subSup"/>
                <m:ctrlPr>
                  <w:rPr>
                    <w:rFonts w:ascii="Cambria Math" w:hAnsi="Cambria Math"/>
                    <w:i/>
                    <w:color w:val="auto"/>
                  </w:rPr>
                </m:ctrlPr>
              </m:naryPr>
              <m:sub>
                <m:r>
                  <w:rPr>
                    <w:rFonts w:ascii="Cambria Math" w:hAnsi="Cambria Math"/>
                    <w:color w:val="auto"/>
                  </w:rPr>
                  <m:t>i=1</m:t>
                </m:r>
                <m:ctrlPr>
                  <w:rPr>
                    <w:rFonts w:ascii="Cambria Math" w:hAnsi="Cambria Math"/>
                    <w:i/>
                    <w:color w:val="auto"/>
                  </w:rPr>
                </m:ctrlPr>
              </m:sub>
              <m:sup>
                <m:r>
                  <w:rPr>
                    <w:rFonts w:ascii="Cambria Math" w:hAnsi="Cambria Math"/>
                    <w:color w:val="auto"/>
                  </w:rPr>
                  <m:t>5</m:t>
                </m:r>
                <m:ctrlPr>
                  <w:rPr>
                    <w:rFonts w:ascii="Cambria Math" w:hAnsi="Cambria Math"/>
                    <w:i/>
                    <w:color w:val="auto"/>
                  </w:rPr>
                </m:ctrlPr>
              </m:sup>
              <m:e>
                <m:r>
                  <w:rPr>
                    <w:rFonts w:ascii="Cambria Math" w:hAnsi="Cambria Math"/>
                    <w:color w:val="auto"/>
                  </w:rPr>
                  <m:t>Li</m:t>
                </m:r>
                <m:ctrlPr>
                  <w:rPr>
                    <w:rFonts w:ascii="Cambria Math" w:hAnsi="Cambria Math"/>
                    <w:i/>
                    <w:color w:val="auto"/>
                  </w:rPr>
                </m:ctrlPr>
              </m:e>
            </m:nary>
            <m:ctrlPr>
              <w:rPr>
                <w:rFonts w:ascii="Cambria Math" w:hAnsi="Cambria Math"/>
                <w:i/>
                <w:color w:val="auto"/>
              </w:rPr>
            </m:ctrlPr>
          </m:num>
          <m:den>
            <m:r>
              <w:rPr>
                <w:rFonts w:ascii="Cambria Math" w:hAnsi="Cambria Math"/>
                <w:color w:val="auto"/>
              </w:rPr>
              <m:t>5</m:t>
            </m:r>
            <m:ctrlPr>
              <w:rPr>
                <w:rFonts w:ascii="Cambria Math" w:hAnsi="Cambria Math"/>
                <w:i/>
                <w:color w:val="auto"/>
              </w:rPr>
            </m:ctrlPr>
          </m:den>
        </m:f>
      </m:oMath>
      <w:r>
        <w:rPr>
          <w:color w:val="auto"/>
        </w:rPr>
        <w:t xml:space="preserve">                              （F.0.4）</w:t>
      </w:r>
    </w:p>
    <w:p>
      <w:pPr>
        <w:rPr>
          <w:color w:val="auto"/>
          <w:szCs w:val="28"/>
        </w:rPr>
      </w:pPr>
      <w:r>
        <w:rPr>
          <w:color w:val="auto"/>
          <w:szCs w:val="28"/>
        </w:rPr>
        <w:t>式</w:t>
      </w:r>
      <w:r>
        <w:rPr>
          <w:rFonts w:hint="eastAsia"/>
          <w:color w:val="auto"/>
          <w:szCs w:val="28"/>
        </w:rPr>
        <w:t xml:space="preserve">中： </w:t>
      </w:r>
      <m:oMath>
        <m:sSub>
          <m:sSubPr>
            <m:ctrlPr>
              <w:rPr>
                <w:rFonts w:ascii="Cambria Math" w:hAnsi="Cambria Math"/>
                <w:i/>
                <w:color w:val="auto"/>
                <w:szCs w:val="28"/>
              </w:rPr>
            </m:ctrlPr>
          </m:sSubPr>
          <m:e>
            <m:r>
              <w:rPr>
                <w:rFonts w:ascii="Cambria Math" w:hAnsi="Cambria Math"/>
                <w:color w:val="auto"/>
                <w:szCs w:val="28"/>
              </w:rPr>
              <m:t>L</m:t>
            </m:r>
            <m:ctrlPr>
              <w:rPr>
                <w:rFonts w:ascii="Cambria Math" w:hAnsi="Cambria Math"/>
                <w:i/>
                <w:color w:val="auto"/>
                <w:szCs w:val="28"/>
              </w:rPr>
            </m:ctrlPr>
          </m:e>
          <m:sub>
            <m:r>
              <w:rPr>
                <w:rFonts w:ascii="Cambria Math" w:hAnsi="Cambria Math"/>
                <w:color w:val="auto"/>
                <w:szCs w:val="28"/>
              </w:rPr>
              <m:t>a</m:t>
            </m:r>
            <m:ctrlPr>
              <w:rPr>
                <w:rFonts w:ascii="Cambria Math" w:hAnsi="Cambria Math"/>
                <w:i/>
                <w:color w:val="auto"/>
                <w:szCs w:val="28"/>
              </w:rPr>
            </m:ctrlPr>
          </m:sub>
        </m:sSub>
      </m:oMath>
      <w:r>
        <w:rPr>
          <w:color w:val="auto"/>
          <w:szCs w:val="28"/>
        </w:rPr>
        <w:t>——测区测钉射入深度平均值，精确至0.01mm；</w:t>
      </w:r>
    </w:p>
    <w:p>
      <w:pPr>
        <w:ind w:firstLine="849" w:firstLineChars="354"/>
        <w:rPr>
          <w:color w:val="auto"/>
          <w:szCs w:val="28"/>
        </w:rPr>
      </w:pPr>
      <m:oMath>
        <m:sSub>
          <m:sSubPr>
            <m:ctrlPr>
              <w:rPr>
                <w:rFonts w:ascii="Cambria Math" w:hAnsi="Cambria Math"/>
                <w:i/>
                <w:color w:val="auto"/>
                <w:szCs w:val="28"/>
              </w:rPr>
            </m:ctrlPr>
          </m:sSubPr>
          <m:e>
            <m:r>
              <w:rPr>
                <w:rFonts w:ascii="Cambria Math" w:hAnsi="Cambria Math"/>
                <w:color w:val="auto"/>
                <w:szCs w:val="28"/>
              </w:rPr>
              <m:t>L</m:t>
            </m:r>
            <m:ctrlPr>
              <w:rPr>
                <w:rFonts w:ascii="Cambria Math" w:hAnsi="Cambria Math"/>
                <w:i/>
                <w:color w:val="auto"/>
                <w:szCs w:val="28"/>
              </w:rPr>
            </m:ctrlPr>
          </m:e>
          <m:sub>
            <m:r>
              <w:rPr>
                <w:rFonts w:hint="eastAsia" w:ascii="Cambria Math" w:hAnsi="Cambria Math"/>
                <w:color w:val="auto"/>
                <w:szCs w:val="28"/>
              </w:rPr>
              <m:t>i</m:t>
            </m:r>
            <m:ctrlPr>
              <w:rPr>
                <w:rFonts w:ascii="Cambria Math" w:hAnsi="Cambria Math"/>
                <w:i/>
                <w:color w:val="auto"/>
                <w:szCs w:val="28"/>
              </w:rPr>
            </m:ctrlPr>
          </m:sub>
        </m:sSub>
      </m:oMath>
      <w:r>
        <w:rPr>
          <w:color w:val="auto"/>
          <w:szCs w:val="28"/>
        </w:rPr>
        <w:t>——第i个测点的射入深度。</w:t>
      </w:r>
    </w:p>
    <w:p>
      <w:pPr>
        <w:spacing w:line="400" w:lineRule="atLeast"/>
        <w:ind w:firstLine="482" w:firstLineChars="200"/>
        <w:rPr>
          <w:color w:val="auto"/>
          <w:szCs w:val="28"/>
        </w:rPr>
      </w:pPr>
      <w:r>
        <w:rPr>
          <w:b/>
          <w:color w:val="auto"/>
        </w:rPr>
        <w:t>2</w:t>
      </w:r>
      <w:r>
        <w:rPr>
          <w:color w:val="auto"/>
          <w:szCs w:val="28"/>
        </w:rPr>
        <w:t xml:space="preserve">  根据平均射入深度值利用专用测强曲线推算测区混凝土抗压强度值，精确至0.1MPa。</w:t>
      </w:r>
    </w:p>
    <w:p>
      <w:pPr>
        <w:spacing w:line="400" w:lineRule="atLeast"/>
        <w:ind w:firstLine="482" w:firstLineChars="200"/>
        <w:rPr>
          <w:color w:val="auto"/>
          <w:szCs w:val="28"/>
        </w:rPr>
      </w:pPr>
      <w:r>
        <w:rPr>
          <w:b/>
          <w:color w:val="auto"/>
        </w:rPr>
        <w:t>3</w:t>
      </w:r>
      <w:r>
        <w:rPr>
          <w:color w:val="auto"/>
          <w:szCs w:val="28"/>
        </w:rPr>
        <w:t xml:space="preserve">  检测报告可按本规程附录中表F.0.2填写。</w:t>
      </w:r>
    </w:p>
    <w:p>
      <w:pPr>
        <w:spacing w:line="400" w:lineRule="atLeast"/>
        <w:ind w:firstLine="560" w:firstLineChars="200"/>
        <w:rPr>
          <w:color w:val="auto"/>
          <w:sz w:val="28"/>
          <w:szCs w:val="28"/>
        </w:rPr>
      </w:pPr>
      <w:r>
        <w:rPr>
          <w:color w:val="auto"/>
          <w:sz w:val="28"/>
          <w:szCs w:val="28"/>
        </w:rPr>
        <w:br w:type="page"/>
      </w:r>
    </w:p>
    <w:p>
      <w:pPr>
        <w:tabs>
          <w:tab w:val="left" w:pos="585"/>
          <w:tab w:val="left" w:pos="2702"/>
          <w:tab w:val="left" w:pos="2822"/>
          <w:tab w:val="left" w:pos="2928"/>
        </w:tabs>
        <w:spacing w:line="400" w:lineRule="exact"/>
        <w:jc w:val="center"/>
        <w:rPr>
          <w:rFonts w:eastAsia="黑体"/>
          <w:bCs/>
          <w:color w:val="auto"/>
          <w:sz w:val="21"/>
          <w:szCs w:val="28"/>
        </w:rPr>
      </w:pPr>
      <w:r>
        <w:rPr>
          <w:rFonts w:eastAsia="黑体"/>
          <w:bCs/>
          <w:color w:val="auto"/>
          <w:sz w:val="21"/>
          <w:szCs w:val="28"/>
        </w:rPr>
        <w:t>表F.0.1 射钉法混凝土强度检测记录表</w:t>
      </w:r>
    </w:p>
    <w:p>
      <w:pPr>
        <w:spacing w:before="4"/>
        <w:rPr>
          <w:color w:val="auto"/>
          <w:sz w:val="5"/>
          <w:szCs w:val="5"/>
        </w:rPr>
      </w:pPr>
    </w:p>
    <w:tbl>
      <w:tblPr>
        <w:tblStyle w:val="44"/>
        <w:tblW w:w="8722" w:type="dxa"/>
        <w:tblInd w:w="192" w:type="dxa"/>
        <w:tblLayout w:type="fixed"/>
        <w:tblCellMar>
          <w:top w:w="0" w:type="dxa"/>
          <w:left w:w="0" w:type="dxa"/>
          <w:bottom w:w="0" w:type="dxa"/>
          <w:right w:w="0" w:type="dxa"/>
        </w:tblCellMar>
      </w:tblPr>
      <w:tblGrid>
        <w:gridCol w:w="876"/>
        <w:gridCol w:w="715"/>
        <w:gridCol w:w="812"/>
        <w:gridCol w:w="670"/>
        <w:gridCol w:w="672"/>
        <w:gridCol w:w="670"/>
        <w:gridCol w:w="670"/>
        <w:gridCol w:w="672"/>
        <w:gridCol w:w="134"/>
        <w:gridCol w:w="536"/>
        <w:gridCol w:w="1031"/>
        <w:gridCol w:w="1264"/>
      </w:tblGrid>
      <w:tr>
        <w:tblPrEx>
          <w:tblLayout w:type="fixed"/>
          <w:tblCellMar>
            <w:top w:w="0" w:type="dxa"/>
            <w:left w:w="0" w:type="dxa"/>
            <w:bottom w:w="0" w:type="dxa"/>
            <w:right w:w="0" w:type="dxa"/>
          </w:tblCellMar>
        </w:tblPrEx>
        <w:trPr>
          <w:trHeight w:val="614"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1"/>
              <w:jc w:val="center"/>
              <w:rPr>
                <w:rFonts w:ascii="Times New Roman" w:hAnsi="Times New Roman"/>
                <w:color w:val="auto"/>
                <w:sz w:val="21"/>
                <w:szCs w:val="21"/>
              </w:rPr>
            </w:pPr>
            <w:r>
              <w:rPr>
                <w:rFonts w:ascii="Times New Roman" w:hAnsi="Times New Roman"/>
                <w:color w:val="auto"/>
                <w:sz w:val="21"/>
                <w:szCs w:val="21"/>
                <w:lang w:eastAsia="zh-CN"/>
              </w:rPr>
              <w:t>检测单位</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pStyle w:val="174"/>
              <w:spacing w:before="131"/>
              <w:ind w:left="3"/>
              <w:jc w:val="center"/>
              <w:rPr>
                <w:rFonts w:ascii="Times New Roman" w:hAnsi="Times New Roman"/>
                <w:color w:val="auto"/>
                <w:sz w:val="21"/>
                <w:szCs w:val="21"/>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pStyle w:val="174"/>
              <w:spacing w:before="131"/>
              <w:jc w:val="center"/>
              <w:rPr>
                <w:rFonts w:ascii="Times New Roman" w:hAnsi="Times New Roman"/>
                <w:color w:val="auto"/>
                <w:sz w:val="21"/>
                <w:szCs w:val="21"/>
              </w:rPr>
            </w:pPr>
            <w:r>
              <w:rPr>
                <w:rFonts w:ascii="Times New Roman" w:hAnsi="Times New Roman"/>
                <w:color w:val="auto"/>
                <w:sz w:val="21"/>
                <w:szCs w:val="21"/>
              </w:rPr>
              <w:t>记录编号</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pStyle w:val="174"/>
              <w:spacing w:before="131"/>
              <w:ind w:left="103" w:right="-5"/>
              <w:jc w:val="center"/>
              <w:rPr>
                <w:rFonts w:ascii="Times New Roman" w:hAnsi="Times New Roman"/>
                <w:color w:val="auto"/>
                <w:spacing w:val="-14"/>
                <w:sz w:val="21"/>
                <w:szCs w:val="21"/>
              </w:rPr>
            </w:pPr>
          </w:p>
        </w:tc>
      </w:tr>
      <w:tr>
        <w:tblPrEx>
          <w:tblLayout w:type="fixed"/>
          <w:tblCellMar>
            <w:top w:w="0" w:type="dxa"/>
            <w:left w:w="0" w:type="dxa"/>
            <w:bottom w:w="0" w:type="dxa"/>
            <w:right w:w="0" w:type="dxa"/>
          </w:tblCellMar>
        </w:tblPrEx>
        <w:trPr>
          <w:trHeight w:val="614"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1"/>
              <w:jc w:val="center"/>
              <w:rPr>
                <w:rFonts w:ascii="Times New Roman" w:hAnsi="Times New Roman"/>
                <w:color w:val="auto"/>
                <w:sz w:val="21"/>
                <w:szCs w:val="21"/>
                <w:lang w:eastAsia="zh-CN"/>
              </w:rPr>
            </w:pPr>
            <w:r>
              <w:rPr>
                <w:rFonts w:ascii="Times New Roman" w:hAnsi="Times New Roman"/>
                <w:color w:val="auto"/>
                <w:sz w:val="21"/>
                <w:szCs w:val="21"/>
                <w:lang w:eastAsia="zh-CN"/>
              </w:rPr>
              <w:t>施工单位</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pStyle w:val="174"/>
              <w:spacing w:before="131"/>
              <w:ind w:left="3"/>
              <w:jc w:val="center"/>
              <w:rPr>
                <w:rFonts w:ascii="Times New Roman" w:hAnsi="Times New Roman"/>
                <w:color w:val="auto"/>
                <w:sz w:val="21"/>
                <w:szCs w:val="21"/>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pStyle w:val="174"/>
              <w:spacing w:before="131"/>
              <w:jc w:val="center"/>
              <w:rPr>
                <w:rFonts w:ascii="Times New Roman" w:hAnsi="Times New Roman"/>
                <w:color w:val="auto"/>
                <w:sz w:val="21"/>
                <w:szCs w:val="21"/>
              </w:rPr>
            </w:pPr>
            <w:r>
              <w:rPr>
                <w:rFonts w:ascii="Times New Roman" w:hAnsi="Times New Roman"/>
                <w:color w:val="auto"/>
                <w:sz w:val="21"/>
                <w:szCs w:val="21"/>
              </w:rPr>
              <w:t>委托编号</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pStyle w:val="174"/>
              <w:spacing w:before="131"/>
              <w:ind w:left="103" w:right="-5"/>
              <w:jc w:val="center"/>
              <w:rPr>
                <w:rFonts w:ascii="Times New Roman" w:hAnsi="Times New Roman"/>
                <w:color w:val="auto"/>
                <w:sz w:val="21"/>
                <w:szCs w:val="21"/>
              </w:rPr>
            </w:pPr>
          </w:p>
        </w:tc>
      </w:tr>
      <w:tr>
        <w:tblPrEx>
          <w:tblLayout w:type="fixed"/>
          <w:tblCellMar>
            <w:top w:w="0" w:type="dxa"/>
            <w:left w:w="0" w:type="dxa"/>
            <w:bottom w:w="0" w:type="dxa"/>
            <w:right w:w="0" w:type="dxa"/>
          </w:tblCellMar>
        </w:tblPrEx>
        <w:trPr>
          <w:trHeight w:val="614"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1"/>
              <w:jc w:val="center"/>
              <w:rPr>
                <w:rFonts w:ascii="Times New Roman" w:hAnsi="Times New Roman"/>
                <w:color w:val="auto"/>
                <w:sz w:val="21"/>
                <w:szCs w:val="21"/>
              </w:rPr>
            </w:pPr>
            <w:r>
              <w:rPr>
                <w:rFonts w:ascii="Times New Roman" w:hAnsi="Times New Roman"/>
                <w:color w:val="auto"/>
                <w:sz w:val="21"/>
                <w:szCs w:val="21"/>
                <w:lang w:eastAsia="zh-CN"/>
              </w:rPr>
              <w:t>工程名称</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pStyle w:val="174"/>
              <w:spacing w:before="131"/>
              <w:ind w:left="3"/>
              <w:jc w:val="center"/>
              <w:rPr>
                <w:rFonts w:ascii="Times New Roman" w:hAnsi="Times New Roman"/>
                <w:color w:val="auto"/>
                <w:sz w:val="21"/>
                <w:szCs w:val="21"/>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pStyle w:val="174"/>
              <w:spacing w:before="131"/>
              <w:jc w:val="center"/>
              <w:rPr>
                <w:rFonts w:ascii="Times New Roman" w:hAnsi="Times New Roman"/>
                <w:color w:val="auto"/>
                <w:sz w:val="21"/>
                <w:szCs w:val="21"/>
              </w:rPr>
            </w:pPr>
            <w:r>
              <w:rPr>
                <w:rFonts w:ascii="Times New Roman" w:hAnsi="Times New Roman"/>
                <w:color w:val="auto"/>
              </w:rPr>
              <w:t>仪器设备</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pStyle w:val="174"/>
              <w:spacing w:before="131"/>
              <w:ind w:left="103" w:right="-5"/>
              <w:jc w:val="center"/>
              <w:rPr>
                <w:rFonts w:ascii="Times New Roman" w:hAnsi="Times New Roman"/>
                <w:color w:val="auto"/>
                <w:sz w:val="21"/>
                <w:szCs w:val="21"/>
              </w:rPr>
            </w:pPr>
          </w:p>
        </w:tc>
      </w:tr>
      <w:tr>
        <w:tblPrEx>
          <w:tblLayout w:type="fixed"/>
          <w:tblCellMar>
            <w:top w:w="0" w:type="dxa"/>
            <w:left w:w="0" w:type="dxa"/>
            <w:bottom w:w="0" w:type="dxa"/>
            <w:right w:w="0" w:type="dxa"/>
          </w:tblCellMar>
        </w:tblPrEx>
        <w:trPr>
          <w:trHeight w:val="676"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r>
              <w:rPr>
                <w:color w:val="auto"/>
                <w:sz w:val="22"/>
              </w:rPr>
              <w:t>施工部位</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jc w:val="center"/>
              <w:rPr>
                <w:color w:val="auto"/>
                <w:sz w:val="22"/>
              </w:rPr>
            </w:pPr>
            <w:r>
              <w:rPr>
                <w:color w:val="auto"/>
                <w:sz w:val="22"/>
              </w:rPr>
              <w:t>仪器设备编号</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17"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4"/>
              <w:ind w:left="160"/>
              <w:jc w:val="center"/>
              <w:rPr>
                <w:rFonts w:ascii="Times New Roman" w:hAnsi="Times New Roman"/>
                <w:color w:val="auto"/>
                <w:sz w:val="21"/>
                <w:szCs w:val="21"/>
              </w:rPr>
            </w:pPr>
            <w:r>
              <w:rPr>
                <w:rFonts w:ascii="Times New Roman" w:hAnsi="Times New Roman"/>
                <w:color w:val="auto"/>
                <w:sz w:val="21"/>
                <w:szCs w:val="21"/>
              </w:rPr>
              <w:t>设计强度等级</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pStyle w:val="174"/>
              <w:spacing w:before="134"/>
              <w:jc w:val="center"/>
              <w:rPr>
                <w:rFonts w:ascii="Times New Roman" w:hAnsi="Times New Roman"/>
                <w:color w:val="auto"/>
                <w:sz w:val="21"/>
                <w:szCs w:val="21"/>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pStyle w:val="174"/>
              <w:spacing w:before="134"/>
              <w:jc w:val="center"/>
              <w:rPr>
                <w:rFonts w:ascii="Times New Roman" w:hAnsi="Times New Roman"/>
                <w:color w:val="auto"/>
                <w:sz w:val="21"/>
                <w:szCs w:val="21"/>
              </w:rPr>
            </w:pPr>
            <w:r>
              <w:rPr>
                <w:rFonts w:ascii="Times New Roman" w:hAnsi="Times New Roman"/>
                <w:color w:val="auto"/>
                <w:sz w:val="21"/>
                <w:szCs w:val="21"/>
              </w:rPr>
              <w:t>施工日期/时间</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pStyle w:val="174"/>
              <w:spacing w:line="289" w:lineRule="exact"/>
              <w:ind w:left="2"/>
              <w:jc w:val="center"/>
              <w:rPr>
                <w:rFonts w:ascii="Times New Roman" w:hAnsi="Times New Roman"/>
                <w:color w:val="auto"/>
                <w:sz w:val="21"/>
                <w:szCs w:val="21"/>
              </w:rPr>
            </w:pPr>
          </w:p>
        </w:tc>
      </w:tr>
      <w:tr>
        <w:tblPrEx>
          <w:tblLayout w:type="fixed"/>
          <w:tblCellMar>
            <w:top w:w="0" w:type="dxa"/>
            <w:left w:w="0" w:type="dxa"/>
            <w:bottom w:w="0" w:type="dxa"/>
            <w:right w:w="0" w:type="dxa"/>
          </w:tblCellMar>
        </w:tblPrEx>
        <w:trPr>
          <w:trHeight w:val="454"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r>
              <w:rPr>
                <w:color w:val="auto"/>
                <w:szCs w:val="21"/>
              </w:rPr>
              <w:t>龄期</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pStyle w:val="174"/>
              <w:spacing w:line="270" w:lineRule="exact"/>
              <w:jc w:val="center"/>
              <w:rPr>
                <w:rFonts w:ascii="Times New Roman" w:hAnsi="Times New Roman"/>
                <w:color w:val="auto"/>
                <w:sz w:val="21"/>
                <w:szCs w:val="21"/>
              </w:rPr>
            </w:pPr>
            <w:r>
              <w:rPr>
                <w:rFonts w:ascii="Times New Roman" w:hAnsi="Times New Roman"/>
                <w:color w:val="auto"/>
                <w:sz w:val="21"/>
                <w:szCs w:val="21"/>
              </w:rPr>
              <w:t>检测日期/时间</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pStyle w:val="174"/>
              <w:rPr>
                <w:rFonts w:ascii="Times New Roman" w:hAnsi="Times New Roman"/>
                <w:color w:val="auto"/>
              </w:rPr>
            </w:pPr>
          </w:p>
        </w:tc>
      </w:tr>
      <w:tr>
        <w:tblPrEx>
          <w:tblLayout w:type="fixed"/>
          <w:tblCellMar>
            <w:top w:w="0" w:type="dxa"/>
            <w:left w:w="0" w:type="dxa"/>
            <w:bottom w:w="0" w:type="dxa"/>
            <w:right w:w="0" w:type="dxa"/>
          </w:tblCellMar>
        </w:tblPrEx>
        <w:trPr>
          <w:trHeight w:val="454" w:hRule="exact"/>
        </w:trPr>
        <w:tc>
          <w:tcPr>
            <w:tcW w:w="1591"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r>
              <w:rPr>
                <w:color w:val="auto"/>
                <w:sz w:val="22"/>
              </w:rPr>
              <w:t>试验条件</w:t>
            </w:r>
          </w:p>
        </w:tc>
        <w:tc>
          <w:tcPr>
            <w:tcW w:w="2824" w:type="dxa"/>
            <w:gridSpan w:val="4"/>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6" w:type="dxa"/>
            <w:gridSpan w:val="3"/>
            <w:tcBorders>
              <w:top w:val="single" w:color="000000" w:sz="4" w:space="0"/>
              <w:left w:val="single" w:color="000000" w:sz="4" w:space="0"/>
              <w:bottom w:val="single" w:color="000000" w:sz="4" w:space="0"/>
              <w:right w:val="single" w:color="auto" w:sz="4" w:space="0"/>
            </w:tcBorders>
            <w:vAlign w:val="center"/>
          </w:tcPr>
          <w:p>
            <w:pPr>
              <w:jc w:val="center"/>
              <w:rPr>
                <w:color w:val="auto"/>
                <w:sz w:val="22"/>
              </w:rPr>
            </w:pPr>
            <w:r>
              <w:rPr>
                <w:color w:val="auto"/>
                <w:sz w:val="22"/>
              </w:rPr>
              <w:t>试验依据</w:t>
            </w:r>
          </w:p>
        </w:tc>
        <w:tc>
          <w:tcPr>
            <w:tcW w:w="2831" w:type="dxa"/>
            <w:gridSpan w:val="3"/>
            <w:tcBorders>
              <w:top w:val="single" w:color="000000" w:sz="4" w:space="0"/>
              <w:left w:val="single" w:color="auto"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574" w:hRule="exact"/>
        </w:trPr>
        <w:tc>
          <w:tcPr>
            <w:tcW w:w="876" w:type="dxa"/>
            <w:vMerge w:val="restart"/>
            <w:tcBorders>
              <w:top w:val="single" w:color="000000" w:sz="4" w:space="0"/>
              <w:left w:val="single" w:color="000000" w:sz="4" w:space="0"/>
              <w:right w:val="single" w:color="000000" w:sz="4" w:space="0"/>
            </w:tcBorders>
            <w:vAlign w:val="center"/>
          </w:tcPr>
          <w:p>
            <w:pPr>
              <w:pStyle w:val="174"/>
              <w:spacing w:before="10"/>
              <w:jc w:val="center"/>
              <w:rPr>
                <w:rFonts w:ascii="Times New Roman" w:hAnsi="Times New Roman"/>
                <w:color w:val="auto"/>
                <w:sz w:val="19"/>
                <w:szCs w:val="19"/>
              </w:rPr>
            </w:pPr>
          </w:p>
          <w:p>
            <w:pPr>
              <w:pStyle w:val="174"/>
              <w:ind w:left="223" w:right="218"/>
              <w:jc w:val="center"/>
              <w:rPr>
                <w:rFonts w:ascii="Times New Roman" w:hAnsi="Times New Roman"/>
                <w:color w:val="auto"/>
                <w:sz w:val="21"/>
                <w:szCs w:val="21"/>
              </w:rPr>
            </w:pPr>
            <w:r>
              <w:rPr>
                <w:rFonts w:ascii="Times New Roman" w:hAnsi="Times New Roman"/>
                <w:color w:val="auto"/>
                <w:sz w:val="21"/>
                <w:szCs w:val="21"/>
              </w:rPr>
              <w:t>测区位置</w:t>
            </w:r>
          </w:p>
        </w:tc>
        <w:tc>
          <w:tcPr>
            <w:tcW w:w="715" w:type="dxa"/>
            <w:vMerge w:val="restart"/>
            <w:tcBorders>
              <w:top w:val="single" w:color="000000" w:sz="4" w:space="0"/>
              <w:left w:val="single" w:color="000000" w:sz="4" w:space="0"/>
              <w:right w:val="single" w:color="000000" w:sz="4" w:space="0"/>
            </w:tcBorders>
            <w:vAlign w:val="center"/>
          </w:tcPr>
          <w:p>
            <w:pPr>
              <w:pStyle w:val="174"/>
              <w:spacing w:before="10"/>
              <w:jc w:val="center"/>
              <w:rPr>
                <w:rFonts w:ascii="Times New Roman" w:hAnsi="Times New Roman"/>
                <w:color w:val="auto"/>
                <w:sz w:val="19"/>
                <w:szCs w:val="19"/>
              </w:rPr>
            </w:pPr>
          </w:p>
          <w:p>
            <w:pPr>
              <w:pStyle w:val="174"/>
              <w:ind w:left="141" w:right="139"/>
              <w:jc w:val="center"/>
              <w:rPr>
                <w:rFonts w:ascii="Times New Roman" w:hAnsi="Times New Roman"/>
                <w:color w:val="auto"/>
                <w:sz w:val="21"/>
                <w:szCs w:val="21"/>
              </w:rPr>
            </w:pPr>
            <w:r>
              <w:rPr>
                <w:rFonts w:ascii="Times New Roman" w:hAnsi="Times New Roman"/>
                <w:color w:val="auto"/>
                <w:sz w:val="21"/>
                <w:szCs w:val="21"/>
              </w:rPr>
              <w:t>测区编号</w:t>
            </w:r>
          </w:p>
        </w:tc>
        <w:tc>
          <w:tcPr>
            <w:tcW w:w="5867" w:type="dxa"/>
            <w:gridSpan w:val="9"/>
            <w:tcBorders>
              <w:top w:val="single" w:color="000000" w:sz="4" w:space="0"/>
              <w:left w:val="single" w:color="000000" w:sz="4" w:space="0"/>
              <w:bottom w:val="single" w:color="000000" w:sz="4" w:space="0"/>
              <w:right w:val="single" w:color="000000" w:sz="4" w:space="0"/>
            </w:tcBorders>
            <w:vAlign w:val="center"/>
          </w:tcPr>
          <w:p>
            <w:pPr>
              <w:pStyle w:val="174"/>
              <w:spacing w:before="111"/>
              <w:ind w:left="1843"/>
              <w:jc w:val="center"/>
              <w:rPr>
                <w:rFonts w:ascii="Times New Roman" w:hAnsi="Times New Roman"/>
                <w:color w:val="auto"/>
                <w:sz w:val="21"/>
                <w:szCs w:val="21"/>
                <w:lang w:eastAsia="zh-CN"/>
              </w:rPr>
            </w:pPr>
            <w:r>
              <w:rPr>
                <w:rFonts w:ascii="Times New Roman" w:hAnsi="Times New Roman"/>
                <w:color w:val="auto"/>
                <w:position w:val="2"/>
                <w:sz w:val="21"/>
                <w:szCs w:val="21"/>
                <w:lang w:eastAsia="zh-CN"/>
              </w:rPr>
              <w:t>测点射入深度</w:t>
            </w:r>
            <w:r>
              <w:rPr>
                <w:rFonts w:ascii="Times New Roman" w:hAnsi="Times New Roman"/>
                <w:i/>
                <w:color w:val="auto"/>
                <w:spacing w:val="-3"/>
                <w:position w:val="2"/>
                <w:sz w:val="21"/>
                <w:szCs w:val="21"/>
                <w:lang w:eastAsia="zh-CN"/>
              </w:rPr>
              <w:t>L</w:t>
            </w:r>
            <w:r>
              <w:rPr>
                <w:rFonts w:ascii="Times New Roman" w:hAnsi="Times New Roman"/>
                <w:i/>
                <w:color w:val="auto"/>
                <w:spacing w:val="-3"/>
                <w:sz w:val="14"/>
                <w:szCs w:val="14"/>
                <w:lang w:eastAsia="zh-CN"/>
              </w:rPr>
              <w:t>i</w:t>
            </w:r>
            <w:r>
              <w:rPr>
                <w:rFonts w:ascii="Times New Roman" w:hAnsi="Times New Roman"/>
                <w:i/>
                <w:color w:val="auto"/>
                <w:spacing w:val="-3"/>
                <w:position w:val="2"/>
                <w:sz w:val="21"/>
                <w:szCs w:val="21"/>
                <w:lang w:eastAsia="zh-CN"/>
              </w:rPr>
              <w:t>(</w:t>
            </w:r>
            <w:r>
              <w:rPr>
                <w:rFonts w:ascii="Times New Roman" w:hAnsi="Times New Roman"/>
                <w:color w:val="auto"/>
                <w:spacing w:val="-3"/>
                <w:position w:val="2"/>
                <w:sz w:val="21"/>
                <w:szCs w:val="21"/>
                <w:lang w:eastAsia="zh-CN"/>
              </w:rPr>
              <w:t>mm)</w:t>
            </w:r>
          </w:p>
        </w:tc>
        <w:tc>
          <w:tcPr>
            <w:tcW w:w="1264" w:type="dxa"/>
            <w:vMerge w:val="restart"/>
            <w:tcBorders>
              <w:top w:val="single" w:color="000000" w:sz="4" w:space="0"/>
              <w:left w:val="single" w:color="000000" w:sz="4" w:space="0"/>
              <w:right w:val="single" w:color="000000" w:sz="4" w:space="0"/>
            </w:tcBorders>
            <w:vAlign w:val="center"/>
          </w:tcPr>
          <w:p>
            <w:pPr>
              <w:pStyle w:val="174"/>
              <w:ind w:left="263" w:right="261" w:firstLine="57"/>
              <w:jc w:val="center"/>
              <w:rPr>
                <w:rFonts w:ascii="Times New Roman" w:hAnsi="Times New Roman"/>
                <w:color w:val="auto"/>
                <w:sz w:val="21"/>
                <w:szCs w:val="21"/>
              </w:rPr>
            </w:pPr>
            <w:r>
              <w:rPr>
                <w:rFonts w:ascii="Times New Roman" w:hAnsi="Times New Roman"/>
                <w:color w:val="auto"/>
                <w:sz w:val="21"/>
                <w:szCs w:val="21"/>
              </w:rPr>
              <w:t>测区换算 强度(MPa)</w:t>
            </w:r>
          </w:p>
        </w:tc>
      </w:tr>
      <w:tr>
        <w:tblPrEx>
          <w:tblLayout w:type="fixed"/>
          <w:tblCellMar>
            <w:top w:w="0" w:type="dxa"/>
            <w:left w:w="0" w:type="dxa"/>
            <w:bottom w:w="0" w:type="dxa"/>
            <w:right w:w="0" w:type="dxa"/>
          </w:tblCellMar>
        </w:tblPrEx>
        <w:trPr>
          <w:trHeight w:val="567" w:hRule="exact"/>
        </w:trPr>
        <w:tc>
          <w:tcPr>
            <w:tcW w:w="876" w:type="dxa"/>
            <w:vMerge w:val="continue"/>
            <w:tcBorders>
              <w:left w:val="single" w:color="000000" w:sz="4" w:space="0"/>
              <w:bottom w:val="single" w:color="000000" w:sz="4" w:space="0"/>
              <w:right w:val="single" w:color="000000" w:sz="4" w:space="0"/>
            </w:tcBorders>
            <w:vAlign w:val="center"/>
          </w:tcPr>
          <w:p>
            <w:pPr>
              <w:jc w:val="center"/>
              <w:rPr>
                <w:color w:val="auto"/>
                <w:sz w:val="22"/>
              </w:rPr>
            </w:pPr>
          </w:p>
        </w:tc>
        <w:tc>
          <w:tcPr>
            <w:tcW w:w="715" w:type="dxa"/>
            <w:vMerge w:val="continue"/>
            <w:tcBorders>
              <w:left w:val="single" w:color="000000" w:sz="4" w:space="0"/>
              <w:bottom w:val="single" w:color="000000" w:sz="4" w:space="0"/>
              <w:right w:val="single" w:color="000000" w:sz="4" w:space="0"/>
            </w:tcBorders>
            <w:vAlign w:val="center"/>
          </w:tcPr>
          <w:p>
            <w:pPr>
              <w:jc w:val="center"/>
              <w:rPr>
                <w:color w:val="auto"/>
                <w:sz w:val="22"/>
              </w:rPr>
            </w:pPr>
          </w:p>
        </w:tc>
        <w:tc>
          <w:tcPr>
            <w:tcW w:w="812" w:type="dxa"/>
            <w:tcBorders>
              <w:top w:val="single" w:color="000000" w:sz="4" w:space="0"/>
              <w:left w:val="single" w:color="000000" w:sz="4" w:space="0"/>
              <w:bottom w:val="single" w:color="000000" w:sz="4" w:space="0"/>
              <w:right w:val="single" w:color="000000" w:sz="4" w:space="0"/>
            </w:tcBorders>
            <w:vAlign w:val="center"/>
          </w:tcPr>
          <w:p>
            <w:pPr>
              <w:pStyle w:val="174"/>
              <w:spacing w:before="152"/>
              <w:jc w:val="center"/>
              <w:rPr>
                <w:rFonts w:ascii="Times New Roman" w:hAnsi="Times New Roman"/>
                <w:color w:val="auto"/>
                <w:sz w:val="21"/>
                <w:szCs w:val="21"/>
              </w:rPr>
            </w:pPr>
            <w:r>
              <w:rPr>
                <w:rFonts w:ascii="Times New Roman" w:hAnsi="Times New Roman"/>
                <w:color w:val="auto"/>
                <w:sz w:val="21"/>
              </w:rPr>
              <w:t>1</w:t>
            </w:r>
          </w:p>
        </w:tc>
        <w:tc>
          <w:tcPr>
            <w:tcW w:w="670" w:type="dxa"/>
            <w:tcBorders>
              <w:top w:val="single" w:color="000000" w:sz="4" w:space="0"/>
              <w:left w:val="single" w:color="000000" w:sz="4" w:space="0"/>
              <w:bottom w:val="single" w:color="000000" w:sz="4" w:space="0"/>
              <w:right w:val="single" w:color="000000" w:sz="4" w:space="0"/>
            </w:tcBorders>
            <w:vAlign w:val="center"/>
          </w:tcPr>
          <w:p>
            <w:pPr>
              <w:pStyle w:val="174"/>
              <w:spacing w:before="152"/>
              <w:ind w:left="2"/>
              <w:jc w:val="center"/>
              <w:rPr>
                <w:rFonts w:ascii="Times New Roman" w:hAnsi="Times New Roman"/>
                <w:color w:val="auto"/>
                <w:sz w:val="21"/>
                <w:szCs w:val="21"/>
              </w:rPr>
            </w:pPr>
            <w:r>
              <w:rPr>
                <w:rFonts w:ascii="Times New Roman" w:hAnsi="Times New Roman"/>
                <w:color w:val="auto"/>
                <w:sz w:val="21"/>
              </w:rPr>
              <w:t>2</w:t>
            </w:r>
          </w:p>
        </w:tc>
        <w:tc>
          <w:tcPr>
            <w:tcW w:w="672" w:type="dxa"/>
            <w:tcBorders>
              <w:top w:val="single" w:color="000000" w:sz="4" w:space="0"/>
              <w:left w:val="single" w:color="000000" w:sz="4" w:space="0"/>
              <w:bottom w:val="single" w:color="000000" w:sz="4" w:space="0"/>
              <w:right w:val="single" w:color="000000" w:sz="4" w:space="0"/>
            </w:tcBorders>
            <w:vAlign w:val="center"/>
          </w:tcPr>
          <w:p>
            <w:pPr>
              <w:pStyle w:val="174"/>
              <w:spacing w:before="152"/>
              <w:jc w:val="center"/>
              <w:rPr>
                <w:rFonts w:ascii="Times New Roman" w:hAnsi="Times New Roman"/>
                <w:color w:val="auto"/>
                <w:sz w:val="21"/>
                <w:szCs w:val="21"/>
              </w:rPr>
            </w:pPr>
            <w:r>
              <w:rPr>
                <w:rFonts w:ascii="Times New Roman" w:hAnsi="Times New Roman"/>
                <w:color w:val="auto"/>
                <w:sz w:val="21"/>
              </w:rPr>
              <w:t>3</w:t>
            </w:r>
          </w:p>
        </w:tc>
        <w:tc>
          <w:tcPr>
            <w:tcW w:w="670" w:type="dxa"/>
            <w:tcBorders>
              <w:top w:val="single" w:color="000000" w:sz="4" w:space="0"/>
              <w:left w:val="single" w:color="000000" w:sz="4" w:space="0"/>
              <w:bottom w:val="single" w:color="000000" w:sz="4" w:space="0"/>
              <w:right w:val="single" w:color="000000" w:sz="4" w:space="0"/>
            </w:tcBorders>
            <w:vAlign w:val="center"/>
          </w:tcPr>
          <w:p>
            <w:pPr>
              <w:pStyle w:val="174"/>
              <w:spacing w:before="152"/>
              <w:jc w:val="center"/>
              <w:rPr>
                <w:rFonts w:ascii="Times New Roman" w:hAnsi="Times New Roman"/>
                <w:color w:val="auto"/>
                <w:sz w:val="21"/>
                <w:szCs w:val="21"/>
              </w:rPr>
            </w:pPr>
            <w:r>
              <w:rPr>
                <w:rFonts w:ascii="Times New Roman" w:hAnsi="Times New Roman"/>
                <w:color w:val="auto"/>
                <w:sz w:val="21"/>
              </w:rPr>
              <w:t>4</w:t>
            </w:r>
          </w:p>
        </w:tc>
        <w:tc>
          <w:tcPr>
            <w:tcW w:w="670" w:type="dxa"/>
            <w:tcBorders>
              <w:top w:val="single" w:color="000000" w:sz="4" w:space="0"/>
              <w:left w:val="single" w:color="000000" w:sz="4" w:space="0"/>
              <w:bottom w:val="single" w:color="000000" w:sz="4" w:space="0"/>
              <w:right w:val="single" w:color="000000" w:sz="4" w:space="0"/>
            </w:tcBorders>
            <w:vAlign w:val="center"/>
          </w:tcPr>
          <w:p>
            <w:pPr>
              <w:pStyle w:val="174"/>
              <w:spacing w:before="152"/>
              <w:jc w:val="center"/>
              <w:rPr>
                <w:rFonts w:ascii="Times New Roman" w:hAnsi="Times New Roman"/>
                <w:color w:val="auto"/>
                <w:sz w:val="21"/>
                <w:szCs w:val="21"/>
              </w:rPr>
            </w:pPr>
            <w:r>
              <w:rPr>
                <w:rFonts w:ascii="Times New Roman" w:hAnsi="Times New Roman"/>
                <w:color w:val="auto"/>
                <w:sz w:val="21"/>
              </w:rPr>
              <w:t>5</w:t>
            </w:r>
          </w:p>
        </w:tc>
        <w:tc>
          <w:tcPr>
            <w:tcW w:w="672" w:type="dxa"/>
            <w:tcBorders>
              <w:top w:val="single" w:color="000000" w:sz="4" w:space="0"/>
              <w:left w:val="single" w:color="000000" w:sz="4" w:space="0"/>
              <w:bottom w:val="single" w:color="000000" w:sz="4" w:space="0"/>
              <w:right w:val="single" w:color="000000" w:sz="4" w:space="0"/>
            </w:tcBorders>
            <w:vAlign w:val="center"/>
          </w:tcPr>
          <w:p>
            <w:pPr>
              <w:pStyle w:val="174"/>
              <w:spacing w:before="152"/>
              <w:ind w:right="2"/>
              <w:jc w:val="center"/>
              <w:rPr>
                <w:rFonts w:ascii="Times New Roman" w:hAnsi="Times New Roman"/>
                <w:color w:val="auto"/>
                <w:sz w:val="21"/>
                <w:szCs w:val="21"/>
              </w:rPr>
            </w:pPr>
            <w:r>
              <w:rPr>
                <w:rFonts w:ascii="Times New Roman" w:hAnsi="Times New Roman"/>
                <w:color w:val="auto"/>
                <w:sz w:val="21"/>
              </w:rPr>
              <w:t>6</w:t>
            </w: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52"/>
              <w:jc w:val="center"/>
              <w:rPr>
                <w:rFonts w:ascii="Times New Roman" w:hAnsi="Times New Roman"/>
                <w:color w:val="auto"/>
                <w:sz w:val="21"/>
                <w:szCs w:val="21"/>
              </w:rPr>
            </w:pPr>
            <w:r>
              <w:rPr>
                <w:rFonts w:ascii="Times New Roman" w:hAnsi="Times New Roman"/>
                <w:color w:val="auto"/>
                <w:sz w:val="21"/>
              </w:rPr>
              <w:t>7</w:t>
            </w:r>
          </w:p>
        </w:tc>
        <w:tc>
          <w:tcPr>
            <w:tcW w:w="1031" w:type="dxa"/>
            <w:tcBorders>
              <w:top w:val="single" w:color="000000" w:sz="4" w:space="0"/>
              <w:left w:val="single" w:color="000000" w:sz="4" w:space="0"/>
              <w:bottom w:val="single" w:color="000000" w:sz="4" w:space="0"/>
              <w:right w:val="single" w:color="000000" w:sz="4" w:space="0"/>
            </w:tcBorders>
            <w:vAlign w:val="center"/>
          </w:tcPr>
          <w:p>
            <w:pPr>
              <w:pStyle w:val="174"/>
              <w:spacing w:before="110"/>
              <w:ind w:left="76"/>
              <w:jc w:val="center"/>
              <w:rPr>
                <w:rFonts w:ascii="Times New Roman" w:hAnsi="Times New Roman"/>
                <w:color w:val="auto"/>
                <w:sz w:val="21"/>
                <w:szCs w:val="21"/>
              </w:rPr>
            </w:pPr>
            <w:r>
              <w:rPr>
                <w:rFonts w:ascii="Times New Roman" w:hAnsi="Times New Roman"/>
                <w:color w:val="auto"/>
                <w:sz w:val="21"/>
                <w:szCs w:val="21"/>
              </w:rPr>
              <w:t>平均值</w:t>
            </w:r>
          </w:p>
        </w:tc>
        <w:tc>
          <w:tcPr>
            <w:tcW w:w="1264" w:type="dxa"/>
            <w:vMerge w:val="continue"/>
            <w:tcBorders>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34"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2"/>
              <w:jc w:val="center"/>
              <w:rPr>
                <w:rFonts w:ascii="Times New Roman" w:hAnsi="Times New Roman"/>
                <w:color w:val="auto"/>
                <w:sz w:val="14"/>
                <w:szCs w:val="14"/>
              </w:rPr>
            </w:pPr>
          </w:p>
          <w:p>
            <w:pPr>
              <w:pStyle w:val="174"/>
              <w:jc w:val="center"/>
              <w:rPr>
                <w:rFonts w:ascii="Times New Roman" w:hAnsi="Times New Roman"/>
                <w:color w:val="auto"/>
                <w:sz w:val="21"/>
                <w:szCs w:val="21"/>
              </w:rPr>
            </w:pPr>
            <w:r>
              <w:rPr>
                <w:rFonts w:ascii="Times New Roman" w:hAnsi="Times New Roman"/>
                <w:color w:val="auto"/>
                <w:sz w:val="21"/>
              </w:rPr>
              <w:t>1</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26"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11"/>
              <w:jc w:val="center"/>
              <w:rPr>
                <w:rFonts w:ascii="Times New Roman" w:hAnsi="Times New Roman"/>
                <w:color w:val="auto"/>
                <w:sz w:val="13"/>
                <w:szCs w:val="13"/>
              </w:rPr>
            </w:pPr>
          </w:p>
          <w:p>
            <w:pPr>
              <w:pStyle w:val="174"/>
              <w:jc w:val="center"/>
              <w:rPr>
                <w:rFonts w:ascii="Times New Roman" w:hAnsi="Times New Roman"/>
                <w:color w:val="auto"/>
                <w:sz w:val="21"/>
                <w:szCs w:val="21"/>
              </w:rPr>
            </w:pPr>
            <w:r>
              <w:rPr>
                <w:rFonts w:ascii="Times New Roman" w:hAnsi="Times New Roman"/>
                <w:color w:val="auto"/>
                <w:sz w:val="21"/>
              </w:rPr>
              <w:t>2</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19"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176"/>
              <w:jc w:val="center"/>
              <w:rPr>
                <w:rFonts w:ascii="Times New Roman" w:hAnsi="Times New Roman"/>
                <w:color w:val="auto"/>
                <w:sz w:val="21"/>
                <w:szCs w:val="21"/>
              </w:rPr>
            </w:pPr>
            <w:r>
              <w:rPr>
                <w:rFonts w:ascii="Times New Roman" w:hAnsi="Times New Roman"/>
                <w:color w:val="auto"/>
                <w:sz w:val="21"/>
              </w:rPr>
              <w:t>3</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14"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176"/>
              <w:jc w:val="center"/>
              <w:rPr>
                <w:rFonts w:ascii="Times New Roman" w:hAnsi="Times New Roman"/>
                <w:color w:val="auto"/>
                <w:sz w:val="21"/>
                <w:szCs w:val="21"/>
              </w:rPr>
            </w:pPr>
            <w:r>
              <w:rPr>
                <w:rFonts w:ascii="Times New Roman" w:hAnsi="Times New Roman"/>
                <w:color w:val="auto"/>
                <w:sz w:val="21"/>
              </w:rPr>
              <w:t>4</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36"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2"/>
              <w:jc w:val="center"/>
              <w:rPr>
                <w:rFonts w:ascii="Times New Roman" w:hAnsi="Times New Roman"/>
                <w:color w:val="auto"/>
                <w:sz w:val="14"/>
                <w:szCs w:val="14"/>
              </w:rPr>
            </w:pPr>
          </w:p>
          <w:p>
            <w:pPr>
              <w:pStyle w:val="174"/>
              <w:jc w:val="center"/>
              <w:rPr>
                <w:rFonts w:ascii="Times New Roman" w:hAnsi="Times New Roman"/>
                <w:color w:val="auto"/>
                <w:sz w:val="21"/>
                <w:szCs w:val="21"/>
              </w:rPr>
            </w:pPr>
            <w:r>
              <w:rPr>
                <w:rFonts w:ascii="Times New Roman" w:hAnsi="Times New Roman"/>
                <w:color w:val="auto"/>
                <w:sz w:val="21"/>
              </w:rPr>
              <w:t>5</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771" w:hRule="exact"/>
        </w:trPr>
        <w:tc>
          <w:tcPr>
            <w:tcW w:w="876"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715" w:type="dxa"/>
            <w:tcBorders>
              <w:top w:val="single" w:color="000000" w:sz="4" w:space="0"/>
              <w:left w:val="single" w:color="000000" w:sz="4" w:space="0"/>
              <w:bottom w:val="single" w:color="000000" w:sz="4" w:space="0"/>
              <w:right w:val="single" w:color="000000" w:sz="4" w:space="0"/>
            </w:tcBorders>
            <w:vAlign w:val="center"/>
          </w:tcPr>
          <w:p>
            <w:pPr>
              <w:pStyle w:val="174"/>
              <w:spacing w:before="5"/>
              <w:jc w:val="center"/>
              <w:rPr>
                <w:rFonts w:ascii="Times New Roman" w:hAnsi="Times New Roman"/>
                <w:color w:val="auto"/>
                <w:sz w:val="19"/>
                <w:szCs w:val="19"/>
              </w:rPr>
            </w:pPr>
          </w:p>
          <w:p>
            <w:pPr>
              <w:pStyle w:val="174"/>
              <w:jc w:val="center"/>
              <w:rPr>
                <w:rFonts w:ascii="Times New Roman" w:hAnsi="Times New Roman"/>
                <w:color w:val="auto"/>
                <w:sz w:val="21"/>
                <w:szCs w:val="21"/>
              </w:rPr>
            </w:pPr>
            <w:r>
              <w:rPr>
                <w:rFonts w:ascii="Times New Roman" w:hAnsi="Times New Roman"/>
                <w:color w:val="auto"/>
                <w:sz w:val="21"/>
              </w:rPr>
              <w:t>6</w:t>
            </w:r>
          </w:p>
        </w:tc>
        <w:tc>
          <w:tcPr>
            <w:tcW w:w="81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670"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03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264"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2607" w:hRule="exact"/>
        </w:trPr>
        <w:tc>
          <w:tcPr>
            <w:tcW w:w="8722" w:type="dxa"/>
            <w:gridSpan w:val="12"/>
            <w:tcBorders>
              <w:top w:val="single" w:color="000000" w:sz="4" w:space="0"/>
              <w:left w:val="single" w:color="000000" w:sz="4" w:space="0"/>
              <w:bottom w:val="single" w:color="000000" w:sz="4" w:space="0"/>
              <w:right w:val="single" w:color="000000" w:sz="4" w:space="0"/>
            </w:tcBorders>
          </w:tcPr>
          <w:p>
            <w:pPr>
              <w:pStyle w:val="174"/>
              <w:spacing w:line="243" w:lineRule="exact"/>
              <w:ind w:left="103"/>
              <w:rPr>
                <w:rFonts w:ascii="Times New Roman" w:hAnsi="Times New Roman"/>
                <w:color w:val="auto"/>
                <w:sz w:val="21"/>
                <w:szCs w:val="21"/>
                <w:lang w:eastAsia="zh-CN"/>
              </w:rPr>
            </w:pPr>
            <w:r>
              <w:rPr>
                <w:rFonts w:ascii="Times New Roman" w:hAnsi="Times New Roman"/>
                <w:color w:val="auto"/>
                <w:sz w:val="21"/>
                <w:szCs w:val="21"/>
                <w:lang w:eastAsia="zh-CN"/>
              </w:rPr>
              <w:t>无专用测强曲线时，可参照下式计算：</w:t>
            </w:r>
          </w:p>
          <w:p>
            <w:pPr>
              <w:pStyle w:val="174"/>
              <w:spacing w:before="2" w:line="249" w:lineRule="auto"/>
              <w:ind w:left="103" w:right="98"/>
              <w:rPr>
                <w:rFonts w:ascii="Times New Roman" w:hAnsi="Times New Roman"/>
                <w:color w:val="auto"/>
                <w:sz w:val="21"/>
                <w:szCs w:val="21"/>
                <w:lang w:eastAsia="zh-CN"/>
              </w:rPr>
            </w:pPr>
            <w:r>
              <w:rPr>
                <w:rFonts w:ascii="Times New Roman" w:hAnsi="Times New Roman"/>
                <w:color w:val="auto"/>
                <w:position w:val="2"/>
                <w:sz w:val="21"/>
                <w:szCs w:val="21"/>
                <w:lang w:eastAsia="zh-CN"/>
              </w:rPr>
              <w:t>回归方程为</w:t>
            </w:r>
            <m:oMath>
              <m:sSub>
                <m:sSubPr>
                  <m:ctrlPr>
                    <w:rPr>
                      <w:rFonts w:ascii="Cambria Math" w:hAnsi="Cambria Math"/>
                      <w:color w:val="auto"/>
                      <w:position w:val="2"/>
                      <w:sz w:val="21"/>
                      <w:szCs w:val="21"/>
                      <w:lang w:eastAsia="zh-CN"/>
                    </w:rPr>
                  </m:ctrlPr>
                </m:sSubPr>
                <m:e>
                  <m:r>
                    <w:rPr>
                      <w:rFonts w:ascii="Cambria Math" w:hAnsi="Cambria Math"/>
                      <w:color w:val="auto"/>
                      <w:position w:val="2"/>
                      <w:sz w:val="21"/>
                      <w:szCs w:val="21"/>
                      <w:lang w:eastAsia="zh-CN"/>
                    </w:rPr>
                    <m:t>f</m:t>
                  </m:r>
                  <m:ctrlPr>
                    <w:rPr>
                      <w:rFonts w:ascii="Cambria Math" w:hAnsi="Cambria Math"/>
                      <w:color w:val="auto"/>
                      <w:position w:val="2"/>
                      <w:sz w:val="21"/>
                      <w:szCs w:val="21"/>
                      <w:lang w:eastAsia="zh-CN"/>
                    </w:rPr>
                  </m:ctrlPr>
                </m:e>
                <m:sub>
                  <m:r>
                    <w:rPr>
                      <w:rFonts w:ascii="Cambria Math" w:hAnsi="Cambria Math"/>
                      <w:color w:val="auto"/>
                      <w:position w:val="2"/>
                      <w:sz w:val="21"/>
                      <w:szCs w:val="21"/>
                      <w:lang w:eastAsia="zh-CN"/>
                    </w:rPr>
                    <m:t>cu,e</m:t>
                  </m:r>
                  <m:ctrlPr>
                    <w:rPr>
                      <w:rFonts w:ascii="Cambria Math" w:hAnsi="Cambria Math"/>
                      <w:color w:val="auto"/>
                      <w:position w:val="2"/>
                      <w:sz w:val="21"/>
                      <w:szCs w:val="21"/>
                      <w:lang w:eastAsia="zh-CN"/>
                    </w:rPr>
                  </m:ctrlPr>
                </m:sub>
              </m:sSub>
              <m:r>
                <w:rPr>
                  <w:rFonts w:ascii="Cambria Math" w:hAnsi="Cambria Math"/>
                  <w:color w:val="auto"/>
                  <w:position w:val="2"/>
                  <w:sz w:val="21"/>
                  <w:szCs w:val="21"/>
                  <w:lang w:eastAsia="zh-CN"/>
                </w:rPr>
                <m:t>=27.48+2.51</m:t>
              </m:r>
              <m:sSub>
                <m:sSubPr>
                  <m:ctrlPr>
                    <w:rPr>
                      <w:rFonts w:ascii="Cambria Math" w:hAnsi="Cambria Math"/>
                      <w:i/>
                      <w:color w:val="auto"/>
                      <w:position w:val="2"/>
                      <w:sz w:val="21"/>
                      <w:szCs w:val="21"/>
                      <w:lang w:eastAsia="zh-CN"/>
                    </w:rPr>
                  </m:ctrlPr>
                </m:sSubPr>
                <m:e>
                  <m:r>
                    <w:rPr>
                      <w:rFonts w:ascii="Cambria Math" w:hAnsi="Cambria Math"/>
                      <w:color w:val="auto"/>
                      <w:position w:val="2"/>
                      <w:sz w:val="21"/>
                      <w:szCs w:val="21"/>
                      <w:lang w:eastAsia="zh-CN"/>
                    </w:rPr>
                    <m:t>L</m:t>
                  </m:r>
                  <m:ctrlPr>
                    <w:rPr>
                      <w:rFonts w:ascii="Cambria Math" w:hAnsi="Cambria Math"/>
                      <w:i/>
                      <w:color w:val="auto"/>
                      <w:position w:val="2"/>
                      <w:sz w:val="21"/>
                      <w:szCs w:val="21"/>
                      <w:lang w:eastAsia="zh-CN"/>
                    </w:rPr>
                  </m:ctrlPr>
                </m:e>
                <m:sub>
                  <m:r>
                    <w:rPr>
                      <w:rFonts w:ascii="Cambria Math" w:hAnsi="Cambria Math"/>
                      <w:color w:val="auto"/>
                      <w:position w:val="2"/>
                      <w:sz w:val="21"/>
                      <w:szCs w:val="21"/>
                      <w:lang w:eastAsia="zh-CN"/>
                    </w:rPr>
                    <m:t>a</m:t>
                  </m:r>
                  <m:ctrlPr>
                    <w:rPr>
                      <w:rFonts w:ascii="Cambria Math" w:hAnsi="Cambria Math"/>
                      <w:i/>
                      <w:color w:val="auto"/>
                      <w:position w:val="2"/>
                      <w:sz w:val="21"/>
                      <w:szCs w:val="21"/>
                      <w:lang w:eastAsia="zh-CN"/>
                    </w:rPr>
                  </m:ctrlPr>
                </m:sub>
              </m:sSub>
            </m:oMath>
            <w:r>
              <w:rPr>
                <w:rFonts w:ascii="Times New Roman" w:hAnsi="Times New Roman"/>
                <w:color w:val="auto"/>
                <w:spacing w:val="-3"/>
                <w:position w:val="2"/>
                <w:sz w:val="21"/>
                <w:szCs w:val="21"/>
                <w:lang w:eastAsia="zh-CN"/>
              </w:rPr>
              <w:t>，式中：</w:t>
            </w:r>
            <m:oMath>
              <m:r>
                <w:rPr>
                  <w:rFonts w:ascii="Cambria Math" w:hAnsi="Cambria Math"/>
                  <w:color w:val="auto"/>
                  <w:spacing w:val="-3"/>
                  <w:position w:val="2"/>
                  <w:sz w:val="21"/>
                  <w:szCs w:val="21"/>
                  <w:lang w:eastAsia="zh-CN"/>
                </w:rPr>
                <m:t>f</m:t>
              </m:r>
              <m:r>
                <m:rPr>
                  <m:sty m:val="p"/>
                </m:rPr>
                <w:rPr>
                  <w:rFonts w:ascii="Cambria Math" w:hAnsi="Cambria Math"/>
                  <w:color w:val="auto"/>
                  <w:spacing w:val="-3"/>
                  <w:sz w:val="14"/>
                  <w:szCs w:val="14"/>
                  <w:lang w:eastAsia="zh-CN"/>
                </w:rPr>
                <m:t>cu,e</m:t>
              </m:r>
            </m:oMath>
            <w:r>
              <w:rPr>
                <w:rFonts w:ascii="Times New Roman" w:hAnsi="Times New Roman"/>
                <w:color w:val="auto"/>
                <w:spacing w:val="-3"/>
                <w:position w:val="2"/>
                <w:sz w:val="21"/>
                <w:szCs w:val="21"/>
                <w:lang w:eastAsia="zh-CN"/>
              </w:rPr>
              <w:t>—湿喷混凝土强度测定代表值（MPa），</w:t>
            </w:r>
            <m:oMath>
              <m:r>
                <w:rPr>
                  <w:rFonts w:ascii="Cambria Math" w:hAnsi="Cambria Math"/>
                  <w:color w:val="auto"/>
                  <w:spacing w:val="-3"/>
                  <w:position w:val="2"/>
                  <w:sz w:val="21"/>
                  <w:szCs w:val="21"/>
                  <w:lang w:eastAsia="zh-CN"/>
                </w:rPr>
                <m:t>L</m:t>
              </m:r>
              <m:r>
                <m:rPr>
                  <m:sty m:val="p"/>
                </m:rPr>
                <w:rPr>
                  <w:rFonts w:ascii="Cambria Math" w:hAnsi="Cambria Math"/>
                  <w:color w:val="auto"/>
                  <w:spacing w:val="-3"/>
                  <w:sz w:val="14"/>
                  <w:szCs w:val="14"/>
                  <w:lang w:eastAsia="zh-CN"/>
                </w:rPr>
                <m:t>a</m:t>
              </m:r>
            </m:oMath>
            <w:r>
              <w:rPr>
                <w:rFonts w:ascii="Times New Roman" w:hAnsi="Times New Roman"/>
                <w:color w:val="auto"/>
                <w:spacing w:val="-3"/>
                <w:position w:val="2"/>
                <w:sz w:val="21"/>
                <w:szCs w:val="21"/>
                <w:lang w:eastAsia="zh-CN"/>
              </w:rPr>
              <w:t>—测</w:t>
            </w:r>
            <w:r>
              <w:rPr>
                <w:rFonts w:ascii="Times New Roman" w:hAnsi="Times New Roman"/>
                <w:color w:val="auto"/>
                <w:sz w:val="21"/>
                <w:szCs w:val="21"/>
                <w:lang w:eastAsia="zh-CN"/>
              </w:rPr>
              <w:t>钉射入深度平均值（mm）。</w:t>
            </w:r>
          </w:p>
        </w:tc>
      </w:tr>
    </w:tbl>
    <w:p>
      <w:pPr>
        <w:spacing w:before="5"/>
        <w:rPr>
          <w:color w:val="auto"/>
          <w:sz w:val="10"/>
          <w:szCs w:val="10"/>
        </w:rPr>
      </w:pPr>
    </w:p>
    <w:p>
      <w:pPr>
        <w:spacing w:before="36"/>
        <w:ind w:left="305"/>
        <w:rPr>
          <w:color w:val="auto"/>
          <w:szCs w:val="21"/>
        </w:rPr>
      </w:pPr>
      <w:r>
        <w:rPr>
          <w:color w:val="auto"/>
          <w:szCs w:val="21"/>
        </w:rPr>
        <w:t>试验                           计算                        复核</w:t>
      </w:r>
    </w:p>
    <w:p>
      <w:pPr>
        <w:rPr>
          <w:color w:val="auto"/>
          <w:szCs w:val="21"/>
        </w:rPr>
        <w:sectPr>
          <w:footerReference r:id="rId9" w:type="default"/>
          <w:footerReference r:id="rId10" w:type="even"/>
          <w:pgSz w:w="11910" w:h="16840"/>
          <w:pgMar w:top="1580" w:right="1180" w:bottom="1160" w:left="1680" w:header="0" w:footer="976" w:gutter="0"/>
          <w:pgNumType w:start="1"/>
          <w:cols w:space="720" w:num="1"/>
        </w:sectPr>
      </w:pPr>
    </w:p>
    <w:p>
      <w:pPr>
        <w:tabs>
          <w:tab w:val="left" w:pos="585"/>
          <w:tab w:val="left" w:pos="2702"/>
          <w:tab w:val="left" w:pos="2822"/>
          <w:tab w:val="left" w:pos="2928"/>
        </w:tabs>
        <w:spacing w:line="400" w:lineRule="exact"/>
        <w:jc w:val="center"/>
        <w:rPr>
          <w:rFonts w:eastAsia="黑体"/>
          <w:bCs/>
          <w:color w:val="auto"/>
          <w:sz w:val="21"/>
          <w:szCs w:val="28"/>
        </w:rPr>
      </w:pPr>
      <w:r>
        <w:rPr>
          <w:rFonts w:eastAsia="黑体"/>
          <w:bCs/>
          <w:color w:val="auto"/>
          <w:sz w:val="21"/>
          <w:szCs w:val="28"/>
        </w:rPr>
        <w:t>表 F.0.2 射钉法混凝土强度检测报告</w:t>
      </w:r>
    </w:p>
    <w:p>
      <w:pPr>
        <w:pStyle w:val="18"/>
        <w:spacing w:line="379" w:lineRule="exact"/>
        <w:ind w:left="426"/>
        <w:jc w:val="left"/>
        <w:rPr>
          <w:color w:val="auto"/>
          <w:sz w:val="21"/>
          <w:szCs w:val="21"/>
        </w:rPr>
      </w:pPr>
      <w:r>
        <w:rPr>
          <w:color w:val="auto"/>
          <w:sz w:val="21"/>
          <w:szCs w:val="21"/>
        </w:rPr>
        <w:t>委托单位                                        报告编号</w:t>
      </w:r>
    </w:p>
    <w:p>
      <w:pPr>
        <w:pStyle w:val="18"/>
        <w:spacing w:line="379" w:lineRule="exact"/>
        <w:ind w:left="426"/>
        <w:jc w:val="left"/>
        <w:rPr>
          <w:color w:val="auto"/>
          <w:sz w:val="21"/>
          <w:szCs w:val="21"/>
        </w:rPr>
      </w:pPr>
      <w:r>
        <w:rPr>
          <w:color w:val="auto"/>
          <w:sz w:val="21"/>
          <w:szCs w:val="21"/>
        </w:rPr>
        <w:t>工程名称                                        委托编号</w:t>
      </w:r>
    </w:p>
    <w:p>
      <w:pPr>
        <w:pStyle w:val="18"/>
        <w:spacing w:line="379" w:lineRule="exact"/>
        <w:ind w:left="426"/>
        <w:jc w:val="left"/>
        <w:rPr>
          <w:color w:val="auto"/>
          <w:sz w:val="21"/>
          <w:szCs w:val="21"/>
        </w:rPr>
      </w:pPr>
      <w:r>
        <w:rPr>
          <w:color w:val="auto"/>
          <w:sz w:val="21"/>
          <w:szCs w:val="21"/>
        </w:rPr>
        <w:t>施工部位                                        报告日期</w:t>
      </w:r>
    </w:p>
    <w:p>
      <w:pPr>
        <w:spacing w:before="3"/>
        <w:rPr>
          <w:color w:val="auto"/>
          <w:sz w:val="5"/>
          <w:szCs w:val="5"/>
        </w:rPr>
      </w:pPr>
    </w:p>
    <w:tbl>
      <w:tblPr>
        <w:tblStyle w:val="44"/>
        <w:tblW w:w="8720" w:type="dxa"/>
        <w:tblInd w:w="192" w:type="dxa"/>
        <w:tblLayout w:type="fixed"/>
        <w:tblCellMar>
          <w:top w:w="0" w:type="dxa"/>
          <w:left w:w="0" w:type="dxa"/>
          <w:bottom w:w="0" w:type="dxa"/>
          <w:right w:w="0" w:type="dxa"/>
        </w:tblCellMar>
      </w:tblPr>
      <w:tblGrid>
        <w:gridCol w:w="1562"/>
        <w:gridCol w:w="2115"/>
        <w:gridCol w:w="677"/>
        <w:gridCol w:w="1582"/>
        <w:gridCol w:w="1313"/>
        <w:gridCol w:w="1471"/>
      </w:tblGrid>
      <w:tr>
        <w:tblPrEx>
          <w:tblLayout w:type="fixed"/>
          <w:tblCellMar>
            <w:top w:w="0" w:type="dxa"/>
            <w:left w:w="0" w:type="dxa"/>
            <w:bottom w:w="0" w:type="dxa"/>
            <w:right w:w="0" w:type="dxa"/>
          </w:tblCellMar>
        </w:tblPrEx>
        <w:trPr>
          <w:trHeight w:val="617" w:hRule="exact"/>
        </w:trPr>
        <w:tc>
          <w:tcPr>
            <w:tcW w:w="1562" w:type="dxa"/>
            <w:tcBorders>
              <w:top w:val="single" w:color="000000" w:sz="4" w:space="0"/>
              <w:left w:val="single" w:color="000000" w:sz="4" w:space="0"/>
              <w:bottom w:val="single" w:color="000000" w:sz="4" w:space="0"/>
              <w:right w:val="single" w:color="000000" w:sz="4" w:space="0"/>
            </w:tcBorders>
            <w:vAlign w:val="center"/>
          </w:tcPr>
          <w:p>
            <w:pPr>
              <w:pStyle w:val="174"/>
              <w:spacing w:before="134"/>
              <w:ind w:left="146"/>
              <w:jc w:val="center"/>
              <w:rPr>
                <w:rFonts w:ascii="Times New Roman" w:hAnsi="Times New Roman"/>
                <w:color w:val="auto"/>
                <w:sz w:val="21"/>
                <w:szCs w:val="21"/>
              </w:rPr>
            </w:pPr>
            <w:r>
              <w:rPr>
                <w:rFonts w:ascii="Times New Roman" w:hAnsi="Times New Roman"/>
                <w:color w:val="auto"/>
                <w:sz w:val="21"/>
                <w:szCs w:val="21"/>
              </w:rPr>
              <w:t>设计强度等级</w:t>
            </w:r>
          </w:p>
        </w:tc>
        <w:tc>
          <w:tcPr>
            <w:tcW w:w="2792"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4"/>
              <w:ind w:left="3"/>
              <w:jc w:val="center"/>
              <w:rPr>
                <w:rFonts w:ascii="Times New Roman" w:hAnsi="Times New Roman"/>
                <w:color w:val="auto"/>
                <w:sz w:val="21"/>
                <w:szCs w:val="21"/>
              </w:rPr>
            </w:pPr>
            <w:r>
              <w:rPr>
                <w:rFonts w:ascii="Times New Roman" w:hAnsi="Times New Roman"/>
                <w:color w:val="auto"/>
                <w:sz w:val="21"/>
                <w:szCs w:val="21"/>
              </w:rPr>
              <w:t>龄期</w:t>
            </w:r>
          </w:p>
        </w:tc>
        <w:tc>
          <w:tcPr>
            <w:tcW w:w="2895"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34"/>
              <w:jc w:val="center"/>
              <w:rPr>
                <w:rFonts w:ascii="Times New Roman" w:hAnsi="Times New Roman"/>
                <w:color w:val="auto"/>
                <w:sz w:val="21"/>
                <w:szCs w:val="21"/>
              </w:rPr>
            </w:pPr>
            <w:r>
              <w:rPr>
                <w:rFonts w:ascii="Times New Roman" w:hAnsi="Times New Roman"/>
                <w:color w:val="auto"/>
                <w:sz w:val="21"/>
                <w:szCs w:val="21"/>
              </w:rPr>
              <w:t>施工日期/时间</w:t>
            </w:r>
          </w:p>
        </w:tc>
        <w:tc>
          <w:tcPr>
            <w:tcW w:w="1471" w:type="dxa"/>
            <w:tcBorders>
              <w:top w:val="single" w:color="000000" w:sz="4" w:space="0"/>
              <w:left w:val="single" w:color="000000" w:sz="4" w:space="0"/>
              <w:bottom w:val="single" w:color="000000" w:sz="4" w:space="0"/>
              <w:right w:val="single" w:color="000000" w:sz="4" w:space="0"/>
            </w:tcBorders>
            <w:vAlign w:val="center"/>
          </w:tcPr>
          <w:p>
            <w:pPr>
              <w:pStyle w:val="174"/>
              <w:spacing w:before="134"/>
              <w:ind w:left="69"/>
              <w:jc w:val="center"/>
              <w:rPr>
                <w:rFonts w:ascii="Times New Roman" w:hAnsi="Times New Roman"/>
                <w:color w:val="auto"/>
                <w:sz w:val="21"/>
                <w:szCs w:val="21"/>
              </w:rPr>
            </w:pPr>
            <w:r>
              <w:rPr>
                <w:rFonts w:ascii="Times New Roman" w:hAnsi="Times New Roman"/>
                <w:color w:val="auto"/>
                <w:sz w:val="21"/>
                <w:szCs w:val="21"/>
              </w:rPr>
              <w:t>检测日期/时间</w:t>
            </w:r>
          </w:p>
        </w:tc>
      </w:tr>
      <w:tr>
        <w:tblPrEx>
          <w:tblLayout w:type="fixed"/>
          <w:tblCellMar>
            <w:top w:w="0" w:type="dxa"/>
            <w:left w:w="0" w:type="dxa"/>
            <w:bottom w:w="0" w:type="dxa"/>
            <w:right w:w="0" w:type="dxa"/>
          </w:tblCellMar>
        </w:tblPrEx>
        <w:trPr>
          <w:trHeight w:val="627" w:hRule="exact"/>
        </w:trPr>
        <w:tc>
          <w:tcPr>
            <w:tcW w:w="1562"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792"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895"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34"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141"/>
              <w:ind w:left="1"/>
              <w:jc w:val="center"/>
              <w:rPr>
                <w:rFonts w:ascii="Times New Roman" w:hAnsi="Times New Roman"/>
                <w:color w:val="auto"/>
                <w:sz w:val="21"/>
                <w:szCs w:val="21"/>
              </w:rPr>
            </w:pPr>
            <w:r>
              <w:rPr>
                <w:rFonts w:ascii="Times New Roman" w:hAnsi="Times New Roman"/>
                <w:color w:val="auto"/>
                <w:sz w:val="21"/>
                <w:szCs w:val="21"/>
              </w:rPr>
              <w:t>测区位置</w:t>
            </w: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before="21"/>
              <w:jc w:val="center"/>
              <w:rPr>
                <w:rFonts w:ascii="Times New Roman" w:hAnsi="Times New Roman"/>
                <w:color w:val="auto"/>
                <w:sz w:val="21"/>
                <w:szCs w:val="21"/>
                <w:lang w:eastAsia="zh-CN"/>
              </w:rPr>
            </w:pPr>
            <w:r>
              <w:rPr>
                <w:rFonts w:ascii="Times New Roman" w:hAnsi="Times New Roman"/>
                <w:color w:val="auto"/>
                <w:sz w:val="21"/>
                <w:szCs w:val="21"/>
                <w:lang w:eastAsia="zh-CN"/>
              </w:rPr>
              <w:t>测区平均射入深度</w:t>
            </w:r>
          </w:p>
          <w:p>
            <w:pPr>
              <w:pStyle w:val="174"/>
              <w:spacing w:before="25"/>
              <w:ind w:right="1"/>
              <w:jc w:val="center"/>
              <w:rPr>
                <w:rFonts w:ascii="Times New Roman" w:hAnsi="Times New Roman"/>
                <w:color w:val="auto"/>
                <w:sz w:val="21"/>
                <w:szCs w:val="21"/>
                <w:lang w:eastAsia="zh-CN"/>
              </w:rPr>
            </w:pPr>
            <w:r>
              <w:rPr>
                <w:rFonts w:ascii="Times New Roman" w:hAnsi="Times New Roman"/>
                <w:i/>
                <w:color w:val="auto"/>
                <w:position w:val="2"/>
                <w:sz w:val="21"/>
                <w:lang w:eastAsia="zh-CN"/>
              </w:rPr>
              <w:t>L</w:t>
            </w:r>
            <w:r>
              <w:rPr>
                <w:rFonts w:ascii="Times New Roman" w:hAnsi="Times New Roman"/>
                <w:color w:val="auto"/>
                <w:sz w:val="14"/>
                <w:lang w:eastAsia="zh-CN"/>
              </w:rPr>
              <w:t>a</w:t>
            </w:r>
            <w:r>
              <w:rPr>
                <w:rFonts w:ascii="Times New Roman" w:hAnsi="Times New Roman"/>
                <w:color w:val="auto"/>
                <w:position w:val="2"/>
                <w:sz w:val="21"/>
                <w:lang w:eastAsia="zh-CN"/>
              </w:rPr>
              <w:t>(mm)</w:t>
            </w:r>
          </w:p>
        </w:tc>
        <w:tc>
          <w:tcPr>
            <w:tcW w:w="1313" w:type="dxa"/>
            <w:tcBorders>
              <w:top w:val="single" w:color="000000" w:sz="4" w:space="0"/>
              <w:left w:val="single" w:color="000000" w:sz="4" w:space="0"/>
              <w:bottom w:val="single" w:color="000000" w:sz="4" w:space="0"/>
              <w:right w:val="single" w:color="000000" w:sz="4" w:space="0"/>
            </w:tcBorders>
            <w:vAlign w:val="center"/>
          </w:tcPr>
          <w:p>
            <w:pPr>
              <w:pStyle w:val="174"/>
              <w:spacing w:before="21"/>
              <w:ind w:left="1"/>
              <w:jc w:val="center"/>
              <w:rPr>
                <w:rFonts w:ascii="Times New Roman" w:hAnsi="Times New Roman"/>
                <w:color w:val="auto"/>
                <w:sz w:val="21"/>
                <w:szCs w:val="21"/>
              </w:rPr>
            </w:pPr>
            <w:r>
              <w:rPr>
                <w:rFonts w:ascii="Times New Roman" w:hAnsi="Times New Roman"/>
                <w:color w:val="auto"/>
                <w:sz w:val="21"/>
                <w:szCs w:val="21"/>
              </w:rPr>
              <w:t>强度</w:t>
            </w:r>
          </w:p>
          <w:p>
            <w:pPr>
              <w:pStyle w:val="174"/>
              <w:spacing w:before="26"/>
              <w:ind w:right="1"/>
              <w:jc w:val="center"/>
              <w:rPr>
                <w:rFonts w:ascii="Times New Roman" w:hAnsi="Times New Roman"/>
                <w:color w:val="auto"/>
                <w:sz w:val="21"/>
                <w:szCs w:val="21"/>
              </w:rPr>
            </w:pPr>
            <w:r>
              <w:rPr>
                <w:rFonts w:ascii="Times New Roman" w:hAnsi="Times New Roman"/>
                <w:color w:val="auto"/>
                <w:sz w:val="21"/>
              </w:rPr>
              <w:t>(MPa)</w:t>
            </w:r>
          </w:p>
        </w:tc>
        <w:tc>
          <w:tcPr>
            <w:tcW w:w="1471" w:type="dxa"/>
            <w:tcBorders>
              <w:top w:val="single" w:color="000000" w:sz="4" w:space="0"/>
              <w:left w:val="single" w:color="000000" w:sz="4" w:space="0"/>
              <w:bottom w:val="single" w:color="000000" w:sz="4" w:space="0"/>
              <w:right w:val="single" w:color="000000" w:sz="4" w:space="0"/>
            </w:tcBorders>
            <w:vAlign w:val="center"/>
          </w:tcPr>
          <w:p>
            <w:pPr>
              <w:pStyle w:val="174"/>
              <w:spacing w:before="141"/>
              <w:jc w:val="center"/>
              <w:rPr>
                <w:rFonts w:ascii="Times New Roman" w:hAnsi="Times New Roman"/>
                <w:color w:val="auto"/>
                <w:sz w:val="21"/>
                <w:szCs w:val="21"/>
              </w:rPr>
            </w:pPr>
            <w:r>
              <w:rPr>
                <w:rFonts w:ascii="Times New Roman" w:hAnsi="Times New Roman"/>
                <w:color w:val="auto"/>
                <w:sz w:val="21"/>
                <w:szCs w:val="21"/>
              </w:rPr>
              <w:t>备注</w:t>
            </w:r>
          </w:p>
        </w:tc>
      </w:tr>
      <w:tr>
        <w:tblPrEx>
          <w:tblLayout w:type="fixed"/>
          <w:tblCellMar>
            <w:top w:w="0" w:type="dxa"/>
            <w:left w:w="0" w:type="dxa"/>
            <w:bottom w:w="0" w:type="dxa"/>
            <w:right w:w="0" w:type="dxa"/>
          </w:tblCellMar>
        </w:tblPrEx>
        <w:trPr>
          <w:trHeight w:val="626"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19"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14"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636"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771"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773"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773"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p>
            <w:pPr>
              <w:jc w:val="center"/>
              <w:rPr>
                <w:color w:val="auto"/>
                <w:sz w:val="22"/>
              </w:rPr>
            </w:pPr>
          </w:p>
        </w:tc>
        <w:tc>
          <w:tcPr>
            <w:tcW w:w="2259" w:type="dxa"/>
            <w:gridSpan w:val="2"/>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313"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c>
          <w:tcPr>
            <w:tcW w:w="1471" w:type="dxa"/>
            <w:tcBorders>
              <w:top w:val="single" w:color="000000" w:sz="4" w:space="0"/>
              <w:left w:val="single" w:color="000000" w:sz="4" w:space="0"/>
              <w:bottom w:val="single" w:color="000000" w:sz="4" w:space="0"/>
              <w:right w:val="single" w:color="000000" w:sz="4" w:space="0"/>
            </w:tcBorders>
            <w:vAlign w:val="center"/>
          </w:tcPr>
          <w:p>
            <w:pPr>
              <w:jc w:val="center"/>
              <w:rPr>
                <w:color w:val="auto"/>
                <w:sz w:val="22"/>
              </w:rPr>
            </w:pPr>
          </w:p>
        </w:tc>
      </w:tr>
      <w:tr>
        <w:tblPrEx>
          <w:tblLayout w:type="fixed"/>
          <w:tblCellMar>
            <w:top w:w="0" w:type="dxa"/>
            <w:left w:w="0" w:type="dxa"/>
            <w:bottom w:w="0" w:type="dxa"/>
            <w:right w:w="0" w:type="dxa"/>
          </w:tblCellMar>
        </w:tblPrEx>
        <w:trPr>
          <w:trHeight w:val="2225" w:hRule="exact"/>
        </w:trPr>
        <w:tc>
          <w:tcPr>
            <w:tcW w:w="3677" w:type="dxa"/>
            <w:gridSpan w:val="2"/>
            <w:tcBorders>
              <w:top w:val="single" w:color="000000" w:sz="4" w:space="0"/>
              <w:left w:val="single" w:color="000000" w:sz="4" w:space="0"/>
              <w:bottom w:val="single" w:color="000000" w:sz="4" w:space="0"/>
              <w:right w:val="single" w:color="000000" w:sz="4" w:space="0"/>
            </w:tcBorders>
            <w:vAlign w:val="center"/>
          </w:tcPr>
          <w:p>
            <w:pPr>
              <w:pStyle w:val="174"/>
              <w:spacing w:line="241" w:lineRule="exact"/>
              <w:rPr>
                <w:rFonts w:ascii="Times New Roman" w:hAnsi="Times New Roman"/>
                <w:color w:val="auto"/>
                <w:sz w:val="21"/>
                <w:szCs w:val="21"/>
              </w:rPr>
            </w:pPr>
            <w:r>
              <w:rPr>
                <w:rFonts w:ascii="Times New Roman" w:hAnsi="Times New Roman"/>
                <w:color w:val="auto"/>
                <w:sz w:val="21"/>
                <w:szCs w:val="21"/>
              </w:rPr>
              <w:t>检测评定依据：</w:t>
            </w: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tc>
        <w:tc>
          <w:tcPr>
            <w:tcW w:w="5043" w:type="dxa"/>
            <w:gridSpan w:val="4"/>
            <w:tcBorders>
              <w:top w:val="single" w:color="000000" w:sz="4" w:space="0"/>
              <w:left w:val="single" w:color="000000" w:sz="4" w:space="0"/>
              <w:bottom w:val="single" w:color="000000" w:sz="4" w:space="0"/>
              <w:right w:val="single" w:color="000000" w:sz="4" w:space="0"/>
            </w:tcBorders>
            <w:vAlign w:val="center"/>
          </w:tcPr>
          <w:p>
            <w:pPr>
              <w:pStyle w:val="174"/>
              <w:spacing w:line="241" w:lineRule="exact"/>
              <w:rPr>
                <w:rFonts w:ascii="Times New Roman" w:hAnsi="Times New Roman"/>
                <w:color w:val="auto"/>
                <w:sz w:val="21"/>
                <w:szCs w:val="21"/>
              </w:rPr>
            </w:pPr>
            <w:r>
              <w:rPr>
                <w:rFonts w:ascii="Times New Roman" w:hAnsi="Times New Roman"/>
                <w:color w:val="auto"/>
                <w:sz w:val="21"/>
                <w:szCs w:val="21"/>
              </w:rPr>
              <w:t>检测结论：</w:t>
            </w: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p>
            <w:pPr>
              <w:pStyle w:val="174"/>
              <w:spacing w:line="241" w:lineRule="exact"/>
              <w:rPr>
                <w:rFonts w:ascii="Times New Roman" w:hAnsi="Times New Roman"/>
                <w:color w:val="auto"/>
                <w:sz w:val="21"/>
                <w:szCs w:val="21"/>
              </w:rPr>
            </w:pPr>
          </w:p>
        </w:tc>
      </w:tr>
    </w:tbl>
    <w:p>
      <w:pPr>
        <w:spacing w:before="6"/>
        <w:rPr>
          <w:color w:val="auto"/>
          <w:sz w:val="18"/>
          <w:szCs w:val="18"/>
        </w:rPr>
      </w:pPr>
    </w:p>
    <w:p>
      <w:pPr>
        <w:spacing w:before="36"/>
        <w:ind w:left="-24" w:leftChars="-10" w:right="420" w:firstLine="480" w:firstLineChars="200"/>
        <w:jc w:val="left"/>
        <w:rPr>
          <w:color w:val="auto"/>
          <w:szCs w:val="21"/>
        </w:rPr>
      </w:pPr>
      <w:r>
        <w:rPr>
          <w:color w:val="auto"/>
          <w:szCs w:val="21"/>
        </w:rPr>
        <w:t>试验                  复核                批准          单位（章）</w:t>
      </w:r>
    </w:p>
    <w:p>
      <w:pPr>
        <w:widowControl/>
        <w:spacing w:line="240" w:lineRule="auto"/>
        <w:jc w:val="left"/>
        <w:rPr>
          <w:color w:val="auto"/>
          <w:szCs w:val="21"/>
        </w:rPr>
      </w:pPr>
      <w:r>
        <w:rPr>
          <w:color w:val="auto"/>
          <w:szCs w:val="21"/>
        </w:rPr>
        <w:br w:type="page"/>
      </w:r>
    </w:p>
    <w:p>
      <w:pPr>
        <w:pStyle w:val="2"/>
        <w:spacing w:before="600" w:beforeLines="0" w:after="600" w:afterLines="0"/>
        <w:rPr>
          <w:color w:val="auto"/>
        </w:rPr>
      </w:pPr>
      <w:bookmarkStart w:id="103" w:name="_Toc1658267"/>
      <w:r>
        <w:rPr>
          <w:rFonts w:hint="eastAsia"/>
          <w:color w:val="auto"/>
        </w:rPr>
        <w:t>本规程用词说明</w:t>
      </w:r>
      <w:bookmarkEnd w:id="103"/>
    </w:p>
    <w:p>
      <w:pPr>
        <w:ind w:firstLine="648" w:firstLineChars="270"/>
        <w:rPr>
          <w:color w:val="auto"/>
          <w:szCs w:val="24"/>
        </w:rPr>
      </w:pPr>
      <w:r>
        <w:rPr>
          <w:rFonts w:hint="eastAsia"/>
          <w:color w:val="auto"/>
          <w:szCs w:val="24"/>
        </w:rPr>
        <w:t>执行本规程条文时，对于要求严格程度的用词说明如下，以便在执行中区别对待。</w:t>
      </w:r>
    </w:p>
    <w:p>
      <w:pPr>
        <w:ind w:firstLine="648" w:firstLineChars="270"/>
        <w:rPr>
          <w:color w:val="auto"/>
          <w:szCs w:val="24"/>
        </w:rPr>
      </w:pPr>
      <w:r>
        <w:rPr>
          <w:rFonts w:hint="eastAsia"/>
          <w:color w:val="auto"/>
          <w:szCs w:val="24"/>
        </w:rPr>
        <w:t>（1）表示很严格，非要这样做不可的用词：</w:t>
      </w:r>
    </w:p>
    <w:p>
      <w:pPr>
        <w:ind w:firstLine="648" w:firstLineChars="270"/>
        <w:rPr>
          <w:color w:val="auto"/>
          <w:szCs w:val="24"/>
        </w:rPr>
      </w:pPr>
      <w:r>
        <w:rPr>
          <w:rFonts w:hint="eastAsia"/>
          <w:color w:val="auto"/>
          <w:szCs w:val="24"/>
        </w:rPr>
        <w:t>正面词采用“必须”；</w:t>
      </w:r>
    </w:p>
    <w:p>
      <w:pPr>
        <w:ind w:firstLine="648" w:firstLineChars="270"/>
        <w:rPr>
          <w:color w:val="auto"/>
          <w:szCs w:val="24"/>
        </w:rPr>
      </w:pPr>
      <w:r>
        <w:rPr>
          <w:rFonts w:hint="eastAsia"/>
          <w:color w:val="auto"/>
          <w:szCs w:val="24"/>
        </w:rPr>
        <w:t>反面词采用“严禁”。</w:t>
      </w:r>
    </w:p>
    <w:p>
      <w:pPr>
        <w:ind w:firstLine="648" w:firstLineChars="270"/>
        <w:rPr>
          <w:color w:val="auto"/>
          <w:szCs w:val="24"/>
        </w:rPr>
      </w:pPr>
      <w:r>
        <w:rPr>
          <w:rFonts w:hint="eastAsia"/>
          <w:color w:val="auto"/>
          <w:szCs w:val="24"/>
        </w:rPr>
        <w:t>（2）表示严格，在正常情况下均应这样做的用词：</w:t>
      </w:r>
    </w:p>
    <w:p>
      <w:pPr>
        <w:ind w:firstLine="648" w:firstLineChars="270"/>
        <w:rPr>
          <w:color w:val="auto"/>
          <w:szCs w:val="24"/>
        </w:rPr>
      </w:pPr>
      <w:r>
        <w:rPr>
          <w:rFonts w:hint="eastAsia"/>
          <w:color w:val="auto"/>
          <w:szCs w:val="24"/>
        </w:rPr>
        <w:t>正面词采用“应”；</w:t>
      </w:r>
    </w:p>
    <w:p>
      <w:pPr>
        <w:ind w:firstLine="648" w:firstLineChars="270"/>
        <w:rPr>
          <w:color w:val="auto"/>
          <w:szCs w:val="24"/>
        </w:rPr>
      </w:pPr>
      <w:r>
        <w:rPr>
          <w:rFonts w:hint="eastAsia"/>
          <w:color w:val="auto"/>
          <w:szCs w:val="24"/>
        </w:rPr>
        <w:t>反面词采用“不应”或“不得”。</w:t>
      </w:r>
    </w:p>
    <w:p>
      <w:pPr>
        <w:ind w:firstLine="648" w:firstLineChars="270"/>
        <w:rPr>
          <w:color w:val="auto"/>
          <w:szCs w:val="24"/>
        </w:rPr>
      </w:pPr>
      <w:r>
        <w:rPr>
          <w:rFonts w:hint="eastAsia"/>
          <w:color w:val="auto"/>
          <w:szCs w:val="24"/>
        </w:rPr>
        <w:t>（3）表示允许稍有选择，在条件许可时首先应这样做的用词：</w:t>
      </w:r>
    </w:p>
    <w:p>
      <w:pPr>
        <w:ind w:firstLine="648" w:firstLineChars="270"/>
        <w:rPr>
          <w:color w:val="auto"/>
          <w:szCs w:val="24"/>
        </w:rPr>
      </w:pPr>
      <w:r>
        <w:rPr>
          <w:rFonts w:hint="eastAsia"/>
          <w:color w:val="auto"/>
          <w:szCs w:val="24"/>
        </w:rPr>
        <w:t>正面词采用“宜”；</w:t>
      </w:r>
    </w:p>
    <w:p>
      <w:pPr>
        <w:ind w:firstLine="648" w:firstLineChars="270"/>
        <w:rPr>
          <w:color w:val="auto"/>
          <w:szCs w:val="24"/>
        </w:rPr>
      </w:pPr>
      <w:r>
        <w:rPr>
          <w:rFonts w:hint="eastAsia"/>
          <w:color w:val="auto"/>
          <w:szCs w:val="24"/>
        </w:rPr>
        <w:t>反面词采用“不宜”。</w:t>
      </w:r>
    </w:p>
    <w:p>
      <w:pPr>
        <w:ind w:firstLine="648" w:firstLineChars="270"/>
        <w:rPr>
          <w:color w:val="auto"/>
          <w:szCs w:val="24"/>
        </w:rPr>
      </w:pPr>
      <w:r>
        <w:rPr>
          <w:rFonts w:hint="eastAsia"/>
          <w:color w:val="auto"/>
          <w:szCs w:val="24"/>
        </w:rPr>
        <w:t>表示有选择，在一定条件下可以这样做的用词，采用“可”。</w:t>
      </w:r>
    </w:p>
    <w:p>
      <w:pPr>
        <w:widowControl/>
        <w:jc w:val="left"/>
        <w:rPr>
          <w:color w:val="auto"/>
        </w:rPr>
      </w:pPr>
      <w:r>
        <w:rPr>
          <w:color w:val="auto"/>
        </w:rPr>
        <w:br w:type="page"/>
      </w:r>
    </w:p>
    <w:p>
      <w:pPr>
        <w:pStyle w:val="2"/>
        <w:spacing w:before="600" w:beforeLines="0" w:after="600" w:afterLines="0"/>
        <w:rPr>
          <w:color w:val="auto"/>
        </w:rPr>
      </w:pPr>
      <w:bookmarkStart w:id="104" w:name="_Toc1658268"/>
      <w:r>
        <w:rPr>
          <w:rFonts w:hint="eastAsia"/>
          <w:color w:val="auto"/>
        </w:rPr>
        <w:t>本规程引用规范清单</w:t>
      </w:r>
      <w:bookmarkEnd w:id="104"/>
    </w:p>
    <w:p>
      <w:pPr>
        <w:rPr>
          <w:color w:val="auto"/>
        </w:rPr>
      </w:pPr>
      <w:r>
        <w:rPr>
          <w:rFonts w:hint="eastAsia"/>
          <w:color w:val="auto"/>
        </w:rPr>
        <w:t>《喷射混凝土应用技术规程》</w:t>
      </w:r>
      <w:r>
        <w:rPr>
          <w:color w:val="auto"/>
        </w:rPr>
        <w:t>JGJ/T 372-2016</w:t>
      </w:r>
    </w:p>
    <w:p>
      <w:pPr>
        <w:rPr>
          <w:color w:val="auto"/>
        </w:rPr>
      </w:pPr>
      <w:r>
        <w:rPr>
          <w:rFonts w:hint="eastAsia"/>
          <w:color w:val="auto"/>
        </w:rPr>
        <w:t>《铁路大型施工机械隧道混凝土湿喷机》</w:t>
      </w:r>
      <w:r>
        <w:rPr>
          <w:color w:val="auto"/>
        </w:rPr>
        <w:t>TB/T 3525-2018</w:t>
      </w:r>
    </w:p>
    <w:p>
      <w:pPr>
        <w:rPr>
          <w:color w:val="auto"/>
        </w:rPr>
      </w:pPr>
      <w:r>
        <w:rPr>
          <w:rFonts w:hint="eastAsia"/>
          <w:color w:val="auto"/>
        </w:rPr>
        <w:t>《铁路混凝土工程施工质量验收标准》TB 10424</w:t>
      </w:r>
    </w:p>
    <w:p>
      <w:pPr>
        <w:rPr>
          <w:color w:val="auto"/>
        </w:rPr>
      </w:pPr>
      <w:r>
        <w:rPr>
          <w:rFonts w:hint="eastAsia"/>
          <w:color w:val="auto"/>
        </w:rPr>
        <w:t xml:space="preserve">《喷射混凝土用速凝剂》GB/T 35159-2017 </w:t>
      </w:r>
    </w:p>
    <w:p>
      <w:pPr>
        <w:rPr>
          <w:color w:val="auto"/>
        </w:rPr>
      </w:pPr>
      <w:r>
        <w:rPr>
          <w:rFonts w:hint="eastAsia"/>
          <w:color w:val="auto"/>
        </w:rPr>
        <w:t xml:space="preserve">《混凝土外加剂》GB 8076-2008 </w:t>
      </w:r>
    </w:p>
    <w:p>
      <w:pPr>
        <w:rPr>
          <w:color w:val="auto"/>
        </w:rPr>
      </w:pPr>
      <w:r>
        <w:rPr>
          <w:rFonts w:hint="eastAsia"/>
          <w:color w:val="auto"/>
        </w:rPr>
        <w:t>《用于水泥、砂浆和混凝土中的粒化高炉矿渣粉》GB/T 18046-2017</w:t>
      </w:r>
    </w:p>
    <w:p>
      <w:pPr>
        <w:jc w:val="left"/>
        <w:rPr>
          <w:color w:val="auto"/>
        </w:rPr>
      </w:pPr>
      <w:r>
        <w:rPr>
          <w:rFonts w:hint="eastAsia"/>
          <w:color w:val="auto"/>
        </w:rPr>
        <w:t>《混凝土拌合物性能试验方法》GB/T50080</w:t>
      </w:r>
    </w:p>
    <w:p>
      <w:pPr>
        <w:jc w:val="left"/>
        <w:rPr>
          <w:color w:val="auto"/>
        </w:rPr>
      </w:pPr>
      <w:r>
        <w:rPr>
          <w:rFonts w:hint="eastAsia"/>
          <w:color w:val="auto"/>
        </w:rPr>
        <w:t>《铁路混凝土》TB/T3275</w:t>
      </w:r>
    </w:p>
    <w:p>
      <w:pPr>
        <w:jc w:val="left"/>
        <w:rPr>
          <w:color w:val="auto"/>
        </w:rPr>
      </w:pPr>
      <w:r>
        <w:rPr>
          <w:rFonts w:hint="eastAsia"/>
          <w:color w:val="auto"/>
        </w:rPr>
        <w:t>《铁路混凝土强度检验评定标准》TB10425</w:t>
      </w:r>
    </w:p>
    <w:p>
      <w:pPr>
        <w:jc w:val="left"/>
        <w:rPr>
          <w:color w:val="auto"/>
        </w:rPr>
      </w:pPr>
      <w:r>
        <w:rPr>
          <w:rFonts w:hint="eastAsia"/>
          <w:color w:val="auto"/>
        </w:rPr>
        <w:t>《铁路工程结构混凝土强度检测规程》TB10426</w:t>
      </w:r>
    </w:p>
    <w:p>
      <w:pPr>
        <w:jc w:val="left"/>
        <w:rPr>
          <w:color w:val="auto"/>
        </w:rPr>
      </w:pPr>
      <w:r>
        <w:rPr>
          <w:rFonts w:hint="eastAsia"/>
          <w:color w:val="auto"/>
        </w:rPr>
        <w:t>《普通混凝土长期性能和耐久性能试验方法标准》GB/T5008</w:t>
      </w:r>
    </w:p>
    <w:p>
      <w:pPr>
        <w:jc w:val="left"/>
        <w:rPr>
          <w:color w:val="auto"/>
        </w:rPr>
      </w:pPr>
      <w:r>
        <w:rPr>
          <w:rFonts w:hint="eastAsia"/>
          <w:color w:val="auto"/>
        </w:rPr>
        <w:t>《普通混凝土配合比设计规程》JGJ55</w:t>
      </w:r>
    </w:p>
    <w:p>
      <w:pPr>
        <w:jc w:val="left"/>
        <w:rPr>
          <w:color w:val="auto"/>
        </w:rPr>
      </w:pPr>
      <w:r>
        <w:rPr>
          <w:rFonts w:hint="eastAsia"/>
          <w:color w:val="auto"/>
        </w:rPr>
        <w:t>《水泥胶砂强度检验方法（ISO法）》GB/T17671</w:t>
      </w:r>
    </w:p>
    <w:p>
      <w:pPr>
        <w:rPr>
          <w:color w:val="auto"/>
        </w:rPr>
      </w:pPr>
      <w:r>
        <w:rPr>
          <w:rFonts w:hint="eastAsia"/>
          <w:color w:val="auto"/>
        </w:rPr>
        <w:t>《建筑施工机械与设备 混凝土搅拌站(楼)》</w:t>
      </w:r>
      <w:r>
        <w:rPr>
          <w:color w:val="auto"/>
        </w:rPr>
        <w:t xml:space="preserve"> GBT 10171-2016</w:t>
      </w:r>
    </w:p>
    <w:p>
      <w:pPr>
        <w:rPr>
          <w:color w:val="auto"/>
        </w:rPr>
      </w:pPr>
      <w:r>
        <w:rPr>
          <w:color w:val="auto"/>
        </w:rPr>
        <w:t>《铁路瓦斯隧道技术规范》TB10120</w:t>
      </w:r>
    </w:p>
    <w:p>
      <w:pPr>
        <w:rPr>
          <w:color w:val="auto"/>
        </w:rPr>
      </w:pPr>
      <w:r>
        <w:rPr>
          <w:rFonts w:hint="eastAsia"/>
          <w:color w:val="auto"/>
        </w:rPr>
        <w:t>《高速铁路隧道工程施工技术规程》Q/CR 9604-2015</w:t>
      </w:r>
    </w:p>
    <w:p>
      <w:pPr>
        <w:rPr>
          <w:color w:val="auto"/>
        </w:rPr>
      </w:pPr>
      <w:r>
        <w:rPr>
          <w:color w:val="auto"/>
        </w:rPr>
        <w:t>《铁路混凝土工程施工技术规程》</w:t>
      </w:r>
      <w:r>
        <w:rPr>
          <w:rFonts w:hint="eastAsia"/>
          <w:color w:val="auto"/>
        </w:rPr>
        <w:t>Q/CR9207-2017</w:t>
      </w:r>
    </w:p>
    <w:p>
      <w:pPr>
        <w:widowControl/>
        <w:spacing w:line="240" w:lineRule="auto"/>
        <w:jc w:val="left"/>
        <w:rPr>
          <w:color w:val="auto"/>
          <w:szCs w:val="21"/>
        </w:rPr>
      </w:pPr>
      <w:r>
        <w:rPr>
          <w:color w:val="auto"/>
          <w:szCs w:val="21"/>
        </w:rPr>
        <w:br w:type="page"/>
      </w:r>
    </w:p>
    <w:p>
      <w:pPr>
        <w:pStyle w:val="2"/>
        <w:spacing w:before="600" w:beforeLines="0" w:after="600" w:afterLines="0"/>
        <w:rPr>
          <w:color w:val="auto"/>
        </w:rPr>
      </w:pPr>
      <w:bookmarkStart w:id="105" w:name="_Toc523754763"/>
      <w:bookmarkStart w:id="106" w:name="_Toc1658269"/>
      <w:r>
        <w:rPr>
          <w:color w:val="auto"/>
        </w:rPr>
        <w:t>《铁路隧道湿喷混凝土施工规程》条文说明</w:t>
      </w:r>
      <w:bookmarkEnd w:id="105"/>
      <w:bookmarkEnd w:id="106"/>
    </w:p>
    <w:p>
      <w:pPr>
        <w:rPr>
          <w:color w:val="auto"/>
        </w:rPr>
      </w:pPr>
      <w:r>
        <w:rPr>
          <w:rFonts w:eastAsia="楷体"/>
          <w:color w:val="auto"/>
          <w:kern w:val="0"/>
        </w:rPr>
        <w:t>本条文说明系对重点条文的编制依据、存在的问题以及在执行中应注意的事项等予以说明。本条文说明不具备与标准正文同等的法律效力，仅供使用者作为理解和把握标准规定的参考。为了减少篇幅.只列条文号，未抄录原条文。</w:t>
      </w:r>
    </w:p>
    <w:p>
      <w:pPr>
        <w:rPr>
          <w:color w:val="auto"/>
        </w:rPr>
      </w:pPr>
    </w:p>
    <w:p>
      <w:pPr>
        <w:rPr>
          <w:color w:val="auto"/>
        </w:rPr>
      </w:pPr>
      <w:r>
        <w:rPr>
          <w:b/>
          <w:color w:val="auto"/>
        </w:rPr>
        <w:t>1.0.1</w:t>
      </w:r>
      <w:r>
        <w:rPr>
          <w:color w:val="auto"/>
        </w:rPr>
        <w:t xml:space="preserve">  湿喷混凝土在我国铁路隧道施工中得到了广泛应用。但在目前相关标准中，湿喷混凝土仅作为其中的一个部分，没有专门的湿喷混凝土施工规程的行业标准或者国家标准指导湿喷混凝土的施工。本规程制定旨在规范铁路隧道湿喷混凝土的施工，确保铁路隧道湿喷混凝土质量。本规程主要根据我国现有的标准规范、科研成果和实践经验制定而成。</w:t>
      </w:r>
    </w:p>
    <w:p>
      <w:pPr>
        <w:rPr>
          <w:color w:val="auto"/>
        </w:rPr>
      </w:pPr>
      <w:r>
        <w:rPr>
          <w:b/>
          <w:color w:val="auto"/>
        </w:rPr>
        <w:t>1.0.2</w:t>
      </w:r>
      <w:r>
        <w:rPr>
          <w:color w:val="auto"/>
        </w:rPr>
        <w:t xml:space="preserve">  本条文明确了铁路隧道湿喷混凝土施工控制的主要环节。湿喷混凝土具有粉尘少、回弹低、机械化程度高、混凝土质量可控等特点，在新建、改扩建铁路隧道工程被大规模应用。由于湿喷混凝土的质量受原材料、配合比、湿喷工艺、喷射设备及施工操作人员等多方面因素影响，本规程对湿喷混凝土涉及到的以上环节</w:t>
      </w:r>
      <w:r>
        <w:rPr>
          <w:rFonts w:hint="eastAsia"/>
          <w:color w:val="auto"/>
        </w:rPr>
        <w:t>做</w:t>
      </w:r>
      <w:r>
        <w:rPr>
          <w:color w:val="auto"/>
        </w:rPr>
        <w:t>出规定。</w:t>
      </w:r>
    </w:p>
    <w:p>
      <w:pPr>
        <w:rPr>
          <w:color w:val="auto"/>
        </w:rPr>
      </w:pPr>
      <w:r>
        <w:rPr>
          <w:b/>
          <w:color w:val="auto"/>
        </w:rPr>
        <w:t xml:space="preserve">1.0.3 </w:t>
      </w:r>
      <w:r>
        <w:rPr>
          <w:color w:val="auto"/>
        </w:rPr>
        <w:t xml:space="preserve"> 本条文规定了本规程与其他标准、规程的关系。湿喷混凝土的应用涉及不同的工程类别以及相关的国家标准或行业标准。在工程应用中，本规程做出规定的，按本规程执行，未做出规定的，按国家现行相关标准执行。</w:t>
      </w:r>
    </w:p>
    <w:p>
      <w:pPr>
        <w:rPr>
          <w:color w:val="auto"/>
        </w:rPr>
      </w:pPr>
      <w:r>
        <w:rPr>
          <w:b/>
          <w:color w:val="auto"/>
        </w:rPr>
        <w:t>2.1</w:t>
      </w:r>
      <w:r>
        <w:rPr>
          <w:rFonts w:hint="eastAsia"/>
          <w:color w:val="auto"/>
        </w:rPr>
        <w:t>无特殊说明时，本规程所述喷射混凝土即指湿喷混凝土。</w:t>
      </w:r>
    </w:p>
    <w:p>
      <w:pPr>
        <w:rPr>
          <w:color w:val="auto"/>
        </w:rPr>
      </w:pPr>
      <w:r>
        <w:rPr>
          <w:b/>
          <w:color w:val="auto"/>
        </w:rPr>
        <w:t>2.1.1</w:t>
      </w:r>
      <w:r>
        <w:rPr>
          <w:color w:val="auto"/>
        </w:rPr>
        <w:t xml:space="preserve">  本条文主要是根据《喷射混凝土应用技术规程》JGJ/T372-2016和湿喷混凝土工艺特点对湿喷混凝土进行定义。</w:t>
      </w:r>
    </w:p>
    <w:p>
      <w:pPr>
        <w:rPr>
          <w:color w:val="auto"/>
        </w:rPr>
      </w:pPr>
      <w:r>
        <w:rPr>
          <w:b/>
          <w:color w:val="auto"/>
        </w:rPr>
        <w:t xml:space="preserve">2.1.2~2.1.6 </w:t>
      </w:r>
      <w:r>
        <w:rPr>
          <w:color w:val="auto"/>
        </w:rPr>
        <w:t xml:space="preserve"> 本条文主要是根据《喷射混凝土应用技术规程》JGJ/T372-2016进行定义。</w:t>
      </w:r>
    </w:p>
    <w:p>
      <w:pPr>
        <w:rPr>
          <w:color w:val="auto"/>
        </w:rPr>
      </w:pPr>
      <w:r>
        <w:rPr>
          <w:b/>
          <w:color w:val="auto"/>
        </w:rPr>
        <w:t>2.1.7</w:t>
      </w:r>
      <w:r>
        <w:rPr>
          <w:color w:val="auto"/>
        </w:rPr>
        <w:t xml:space="preserve">  本条文根据《铁路大型施工机械隧道混凝土湿喷机》TB/T 3525-2018进行定义。</w:t>
      </w:r>
    </w:p>
    <w:p>
      <w:pPr>
        <w:rPr>
          <w:color w:val="auto"/>
        </w:rPr>
      </w:pPr>
      <w:r>
        <w:rPr>
          <w:b/>
          <w:color w:val="auto"/>
        </w:rPr>
        <w:t xml:space="preserve">3.1.1  </w:t>
      </w:r>
      <w:r>
        <w:rPr>
          <w:color w:val="auto"/>
        </w:rPr>
        <w:t>各项管理体系的建立健全是明确建设各方在工程施工阶段的监督、管理和控制的职责，施工阶段是工程质量、安全、环保及职业健康控制的关键环节，各类项目管理目标的实现在很大程度上取决于施工阶段的全过程管理和控制，应对管理层、技术层、作业层人员实行责任登记制度，实现质量、安全、环保及职业健康责任制，并对过程中出现的各类问题有可追溯性。</w:t>
      </w:r>
    </w:p>
    <w:p>
      <w:pPr>
        <w:rPr>
          <w:color w:val="auto"/>
        </w:rPr>
      </w:pPr>
      <w:r>
        <w:rPr>
          <w:b/>
          <w:color w:val="auto"/>
        </w:rPr>
        <w:t xml:space="preserve">3.1.2  </w:t>
      </w:r>
      <w:r>
        <w:rPr>
          <w:color w:val="auto"/>
        </w:rPr>
        <w:t>施工单位编制隧道湿喷混凝土作业指导书时，应结合所选机械设备性能、操作说明及所选湿喷混凝土配合比的相关参数统筹考虑，纳入喷射工艺流程控制及管理过程中。</w:t>
      </w:r>
    </w:p>
    <w:p>
      <w:pPr>
        <w:rPr>
          <w:color w:val="auto"/>
        </w:rPr>
      </w:pPr>
      <w:r>
        <w:rPr>
          <w:b/>
          <w:color w:val="auto"/>
        </w:rPr>
        <w:t xml:space="preserve">3.2.3  </w:t>
      </w:r>
      <w:r>
        <w:rPr>
          <w:color w:val="auto"/>
        </w:rPr>
        <w:t>由于技术手段及成本制约，隧道地勘阶段的地质资料与施工期间揭示地质情况会有所差异。隧道施工期间，设计地质专业人员应深入现场，对现场实际地质情况进行核查，根据核查结果，对湿喷混凝土相关设计参数进行调整，这是国内外隧道工程施工通行做法，体现了隧道工程动态化设计与施工理念。</w:t>
      </w:r>
    </w:p>
    <w:p>
      <w:pPr>
        <w:rPr>
          <w:color w:val="auto"/>
        </w:rPr>
      </w:pPr>
      <w:r>
        <w:rPr>
          <w:b/>
          <w:color w:val="auto"/>
        </w:rPr>
        <w:t>3.2.</w:t>
      </w:r>
      <w:r>
        <w:rPr>
          <w:rFonts w:hint="eastAsia"/>
          <w:b/>
          <w:color w:val="auto"/>
        </w:rPr>
        <w:t>5</w:t>
      </w:r>
      <w:r>
        <w:rPr>
          <w:color w:val="auto"/>
        </w:rPr>
        <w:t>为了保证隧道湿喷混凝土施工质量，在施工前很有必要开展工艺试验，目的是检验湿喷混凝土施工设备及施工工艺能否满足设计要求。工艺试验主要内容包括：湿喷机械设备参数设定、湿喷混凝土配合比与设备的适应性、喷射过程操作步骤及施工控制要点等，通过工艺试验评估和总结，及时修订施工作业指导书，为后续施工提出具有针对性的技术指导措施，保证施工工艺科学合理，确保施工质量达到设计各项指标要求。</w:t>
      </w:r>
    </w:p>
    <w:p>
      <w:pPr>
        <w:rPr>
          <w:color w:val="auto"/>
        </w:rPr>
      </w:pPr>
      <w:r>
        <w:rPr>
          <w:b/>
          <w:color w:val="auto"/>
        </w:rPr>
        <w:t xml:space="preserve">3.3.1  </w:t>
      </w:r>
      <w:r>
        <w:rPr>
          <w:color w:val="auto"/>
        </w:rPr>
        <w:t>隧道机械化施工、信息化管理是隧道工程施工技术发展的必然趋势，是隧道工程全面实现智能化建造的重要基础。推行机械化要重点做好提高机械化的施工程度、配置标准、作业标准三个方面的工作。为适应当前国内外建设项目施工新形势，减少对劳动人员的依赖，减轻作业人员劳动强度，加快隧道施工进度，缩短工期，保证施工质量、安全全面受控，提升装备实力，推行隧道湿喷混凝土机械化、信息化，对提升我国隧道智能化建造、施工水平意义深远。</w:t>
      </w:r>
    </w:p>
    <w:p>
      <w:pPr>
        <w:rPr>
          <w:color w:val="auto"/>
        </w:rPr>
      </w:pPr>
      <w:r>
        <w:rPr>
          <w:b/>
          <w:color w:val="auto"/>
        </w:rPr>
        <w:t xml:space="preserve">3.3.2  </w:t>
      </w:r>
      <w:r>
        <w:rPr>
          <w:color w:val="auto"/>
        </w:rPr>
        <w:t>湿喷混凝土拌和物集中拌和，采用自动化、信息化的强制搅拌设备，配备专业的管理和作业人员，实现工厂化生产，可有效的保证湿喷混凝土的施工质量。通过建立信息化工地试验室，有效的加强了湿喷混凝土从原材料进场、拌和物生产、运输及施工现场的全过程管理和控制，有效落实了铁路总公司颁布的《铁路混凝土拌和站机械配置技术规程》（Q/CR9223-2015）、《铁路工地混凝土拌和站标准化管理实施意见》（工管办函〔2013〕283号）、《铁路工地试验室标准化管理实施意见》（工管办函〔2013〕284号）、《铁路工地试验室和混凝土拌和站人员岗位资格培训考试管理办法（试行）》（工管办函〔2013〕300号）文件的相关规定。</w:t>
      </w:r>
    </w:p>
    <w:p>
      <w:pPr>
        <w:rPr>
          <w:color w:val="auto"/>
        </w:rPr>
      </w:pPr>
      <w:r>
        <w:rPr>
          <w:b/>
          <w:color w:val="auto"/>
        </w:rPr>
        <w:t xml:space="preserve">3.3.3  </w:t>
      </w:r>
      <w:r>
        <w:rPr>
          <w:color w:val="auto"/>
        </w:rPr>
        <w:t>专业化主要体现在湿喷混凝土拌和物生产运输、试验检测、喷射工艺等重点工序的施工和质量控制，包括专业化管理与专业化施工，两者相辅相成、缺一不可，参建各方应围绕施工工艺和技术、管理和施工人员配备、机械设备配置等生产、质量控制要素，对隧道湿喷混凝土施工实施专业化管理和专业化施工。</w:t>
      </w:r>
    </w:p>
    <w:p>
      <w:pPr>
        <w:rPr>
          <w:color w:val="auto"/>
        </w:rPr>
      </w:pPr>
      <w:r>
        <w:rPr>
          <w:b/>
          <w:color w:val="auto"/>
        </w:rPr>
        <w:t xml:space="preserve">3.3.4  </w:t>
      </w:r>
      <w:r>
        <w:rPr>
          <w:color w:val="auto"/>
        </w:rPr>
        <w:t>铁路隧道机械化、信息化施工需坚持“先进、安全、实用、简便”的原则，统筹规划、分步实施，使两者通过现场施工实现深度融合，为隧道智能化建造提供支持，不断提升铁路建设项目管理水平。按照铁路建设信息化管理要求，建立完善的项目管理信息系统和平台，实现各类业务数据信息图形化、可视化、实时化，为参建各方协同办公、过程控制、综合分析等提供互联互通、资源共享。以现代互联网互通技术、电子信息设备、智能化分析软件等信息技术、智能分析手段为载体，实现隧道湿喷混凝土施工过程的有效监控和管理。</w:t>
      </w:r>
    </w:p>
    <w:p>
      <w:pPr>
        <w:adjustRightInd w:val="0"/>
        <w:snapToGrid w:val="0"/>
        <w:rPr>
          <w:bCs/>
          <w:color w:val="auto"/>
        </w:rPr>
      </w:pPr>
      <w:r>
        <w:rPr>
          <w:b/>
          <w:color w:val="auto"/>
        </w:rPr>
        <w:t xml:space="preserve">4.1.1  </w:t>
      </w:r>
      <w:r>
        <w:rPr>
          <w:color w:val="auto"/>
        </w:rPr>
        <w:t>硅酸盐水泥和普通硅酸盐水泥与速凝剂的适应性好，掺速凝剂后能速凝、快硬、后期强度较高，推荐优先选用。因喷射混凝土使用环境较为复杂，因此在特殊环境条件下可以使用特种水泥。</w:t>
      </w:r>
      <w:r>
        <w:rPr>
          <w:bCs/>
          <w:color w:val="auto"/>
        </w:rPr>
        <w:t>此外，由于喷射混凝土强度受到原材料和喷射作业的影响，强度波动较大，为更好的保证喷射混凝土质量，用于永久性结构时水泥强度等级不应低于42.5级。</w:t>
      </w:r>
    </w:p>
    <w:p>
      <w:pPr>
        <w:adjustRightInd w:val="0"/>
        <w:snapToGrid w:val="0"/>
        <w:ind w:firstLine="480" w:firstLineChars="200"/>
        <w:rPr>
          <w:b/>
          <w:color w:val="auto"/>
        </w:rPr>
      </w:pPr>
      <w:r>
        <w:rPr>
          <w:color w:val="auto"/>
        </w:rPr>
        <w:t>铁路混凝土中掺和料多为粉煤灰和矿渣粉，为了使混凝土中矿渣</w:t>
      </w:r>
      <w:r>
        <w:rPr>
          <w:bCs/>
          <w:color w:val="auto"/>
        </w:rPr>
        <w:t>粉与粉煤灰添加总量可控，所用水泥中的混合材宜为矿渣粉或粉煤灰。</w:t>
      </w:r>
      <w:r>
        <w:rPr>
          <w:color w:val="auto"/>
        </w:rPr>
        <w:t>水泥颗粒过细，水泥熟料中C</w:t>
      </w:r>
      <w:r>
        <w:rPr>
          <w:color w:val="auto"/>
          <w:vertAlign w:val="subscript"/>
        </w:rPr>
        <w:t>3</w:t>
      </w:r>
      <w:r>
        <w:rPr>
          <w:color w:val="auto"/>
        </w:rPr>
        <w:t>A含量过高，水泥的水化速度过快，水化热集中释放，导致混凝土收缩增大、抗裂性降低，对混凝土耐久性不利。因此，应该对水泥的比表面积及C</w:t>
      </w:r>
      <w:r>
        <w:rPr>
          <w:color w:val="auto"/>
          <w:vertAlign w:val="subscript"/>
        </w:rPr>
        <w:t>3</w:t>
      </w:r>
      <w:r>
        <w:rPr>
          <w:color w:val="auto"/>
        </w:rPr>
        <w:t>A含量加以限制。《通用硅酸盐水泥》GB 175中用比表面积来评价普通硅酸水泥的细度，规定了最小比表面积，本标准对硅酸盐水泥与普通硅酸盐水泥比表面积的上限进行限制，规定为不大于350m</w:t>
      </w:r>
      <w:r>
        <w:rPr>
          <w:color w:val="auto"/>
          <w:vertAlign w:val="superscript"/>
        </w:rPr>
        <w:t>2</w:t>
      </w:r>
      <w:r>
        <w:rPr>
          <w:color w:val="auto"/>
        </w:rPr>
        <w:t>/kg。水泥中的碱含量过高不仅容易引发混凝土的碱—骨料反应，而且增加混凝土的开裂倾向，不宜采用碱含量过高的水泥。</w:t>
      </w:r>
    </w:p>
    <w:p>
      <w:pPr>
        <w:rPr>
          <w:bCs/>
          <w:color w:val="auto"/>
        </w:rPr>
      </w:pPr>
      <w:r>
        <w:rPr>
          <w:b/>
          <w:color w:val="auto"/>
        </w:rPr>
        <w:t xml:space="preserve">4.1.2  </w:t>
      </w:r>
      <w:r>
        <w:rPr>
          <w:bCs/>
          <w:color w:val="auto"/>
        </w:rPr>
        <w:t>基于技术可行性和经济性，铁路混凝土工程中所用的掺和料以矿渣粉、粉煤灰为主，也可使用硅灰。在一些特殊场合，必须使用新型矿物掺和料，如煅烧高岭土、沸石粉、碳酸盐类掺和料或硅质掺和料时，应由试验证明</w:t>
      </w:r>
      <w:r>
        <w:rPr>
          <w:rFonts w:hint="eastAsia"/>
          <w:bCs/>
          <w:color w:val="auto"/>
        </w:rPr>
        <w:t>加入</w:t>
      </w:r>
      <w:r>
        <w:rPr>
          <w:bCs/>
          <w:color w:val="auto"/>
        </w:rPr>
        <w:t>这些掺和料混凝土的耐久性满足要求，并要通过试验论证方可使用。</w:t>
      </w:r>
    </w:p>
    <w:p>
      <w:pPr>
        <w:ind w:firstLine="480" w:firstLineChars="200"/>
        <w:rPr>
          <w:b/>
          <w:color w:val="auto"/>
        </w:rPr>
      </w:pPr>
      <w:r>
        <w:rPr>
          <w:color w:val="auto"/>
        </w:rPr>
        <w:t>采用烧失量大的粉煤灰配制的混凝土工作性差（坍落度损失大、不易捣实）、强度效应差（波特兰效应降低）以及耐久性差（封孔固化和致密效应降低）。因此，对粉煤灰的烧失量应予重点控制。粉煤灰中未燃烧颗粒对外加剂具有很大的吸附作用，尤其对引气剂，冻融环境下应严格控制粉煤灰中的烧失量，冻融破坏环境下混凝土所用粉煤灰烧失量不宜大于3.0%。硫酸根离子、C</w:t>
      </w:r>
      <w:r>
        <w:rPr>
          <w:color w:val="auto"/>
          <w:vertAlign w:val="subscript"/>
        </w:rPr>
        <w:t>a</w:t>
      </w:r>
      <w:r>
        <w:rPr>
          <w:color w:val="auto"/>
        </w:rPr>
        <w:t>O与C</w:t>
      </w:r>
      <w:r>
        <w:rPr>
          <w:color w:val="auto"/>
          <w:vertAlign w:val="subscript"/>
        </w:rPr>
        <w:t>3</w:t>
      </w:r>
      <w:r>
        <w:rPr>
          <w:color w:val="auto"/>
        </w:rPr>
        <w:t>A会生成钙矾石，钙矾石体积膨胀会导致混凝土的破坏，铁路混凝土应选择低钙粉煤灰。</w:t>
      </w:r>
    </w:p>
    <w:p>
      <w:pPr>
        <w:ind w:firstLine="480" w:firstLineChars="200"/>
        <w:rPr>
          <w:color w:val="auto"/>
        </w:rPr>
      </w:pPr>
      <w:r>
        <w:rPr>
          <w:color w:val="auto"/>
        </w:rPr>
        <w:t>矿渣粉越细，活性越高，其收缩也随之增加。磨细矿渣粉时，如果掺有石灰石粉，应当说明其掺量。矿渣粉性能参照了《用于水泥、砂浆和混凝土中的粒化高炉矿渣粉》GB/T 18046-2017的要求。</w:t>
      </w:r>
    </w:p>
    <w:p>
      <w:pPr>
        <w:ind w:firstLine="480" w:firstLineChars="200"/>
        <w:rPr>
          <w:color w:val="auto"/>
        </w:rPr>
      </w:pPr>
      <w:r>
        <w:rPr>
          <w:color w:val="auto"/>
        </w:rPr>
        <w:t>在水灰比不变的情况下，掺入硅灰可明显提高混凝土的强度、抗化学腐蚀性和耐磨性，但由于硅灰活性高，不利于减少温度变形，并且增大混凝土自收缩，因此，当有特殊需要需使用硅灰时，宜与其他矿物掺和料同时掺用，且其掺量不宜过大，一般不超过胶凝材料的8%。</w:t>
      </w:r>
    </w:p>
    <w:p>
      <w:pPr>
        <w:ind w:firstLine="480" w:firstLineChars="200"/>
        <w:rPr>
          <w:color w:val="auto"/>
        </w:rPr>
      </w:pPr>
      <w:r>
        <w:rPr>
          <w:color w:val="auto"/>
        </w:rPr>
        <w:t>在低于5℃、有硫酸盐存在并与水接触的环境中，碳酸钙可生成没有强度的膏状水化碳硫硅酸钙（硅灰石膏）。在硫酸盐侵蚀环境下，不得使用石灰石粉作为掺和料。</w:t>
      </w:r>
    </w:p>
    <w:p>
      <w:pPr>
        <w:rPr>
          <w:color w:val="auto"/>
        </w:rPr>
      </w:pPr>
      <w:r>
        <w:rPr>
          <w:b/>
          <w:color w:val="auto"/>
        </w:rPr>
        <w:t xml:space="preserve">4.2.1  </w:t>
      </w:r>
      <w:r>
        <w:rPr>
          <w:color w:val="auto"/>
        </w:rPr>
        <w:t>本条规定细骨料宜选用细度模数应大于2.5，高强喷射混凝土细骨料细度模数宜为2.6～3.2，是为了保证混凝土喷射效果和强度，减少喷射混凝土回弹率及混凝土硬化后的收缩。</w:t>
      </w:r>
    </w:p>
    <w:p>
      <w:pPr>
        <w:snapToGrid w:val="0"/>
        <w:ind w:firstLine="480" w:firstLineChars="200"/>
        <w:rPr>
          <w:color w:val="auto"/>
        </w:rPr>
      </w:pPr>
      <w:r>
        <w:rPr>
          <w:color w:val="auto"/>
        </w:rPr>
        <w:t>采用专门机组生产的人工砂，具有很好的粒形，且因在磨制前已被清洗，故其含泥量较低，可以用来配制高性能混凝土。山砂是由开挖山体浅层风化岩经筛选而得，含泥量高、风化严重，故不提倡使用。海砂中的有害物氯离子虽然可用淡水冲洗除去，但目前冲洗成本高，质量控制困难，因此，本标准中规定不得使用。</w:t>
      </w:r>
    </w:p>
    <w:p>
      <w:pPr>
        <w:snapToGrid w:val="0"/>
        <w:ind w:firstLine="480" w:firstLineChars="200"/>
        <w:rPr>
          <w:color w:val="auto"/>
        </w:rPr>
      </w:pPr>
      <w:r>
        <w:rPr>
          <w:color w:val="auto"/>
        </w:rPr>
        <w:t>人工砂中的石粉不同于黏土、泥块，适量石粉在混凝土中有调整和易性、显著增强喷射效率、提高喷射混凝土韧性的有利作用。本标准对机制砂主要参考国家现行标准《建设用砂》GB/T14684-2011并在大量施工实践的基础上,通过＜C30、C30～C35、≥C40三个等级来控制石粉含量和其他技术指标，在满足质量要求的前提下，兼顾喷射混凝土可施工性，更有利于机制砂的推广使用。</w:t>
      </w:r>
    </w:p>
    <w:p>
      <w:pPr>
        <w:snapToGrid w:val="0"/>
        <w:ind w:firstLine="480" w:firstLineChars="200"/>
        <w:rPr>
          <w:color w:val="auto"/>
        </w:rPr>
      </w:pPr>
      <w:r>
        <w:rPr>
          <w:color w:val="auto"/>
        </w:rPr>
        <w:t>水、混凝土中的碱、活性骨料是发生碱—骨料反应的三个必要条件。为预防混凝土发生碱—骨料反应，处于潮湿环境中的混凝土结构应尽量采用砂浆棒或岩石柱膨胀率小于0.10%的非碱活性骨料。</w:t>
      </w:r>
    </w:p>
    <w:p>
      <w:pPr>
        <w:snapToGrid w:val="0"/>
        <w:rPr>
          <w:color w:val="auto"/>
        </w:rPr>
      </w:pPr>
      <w:r>
        <w:rPr>
          <w:b/>
          <w:color w:val="auto"/>
        </w:rPr>
        <w:t xml:space="preserve">4.2.2  </w:t>
      </w:r>
      <w:r>
        <w:rPr>
          <w:color w:val="auto"/>
        </w:rPr>
        <w:t>粗骨料的粒形和级配对混合料在管内的顺利输送、混凝土的密实性、经济性及回弹率都有重要影响，因此应使用球形且级配良好的粗骨料。目前喷射作业使用的多为φ50的喷射管，按骨料最大粒径不宜超过管径的1/3的喷射工艺需要，同时考虑减少回弹率，骨料最大粒径不宜大于16mm。在特殊条件下，采用特种工装设备并经工艺试验确定后，骨料最大粒径可不受此限制。但有特殊要求、使用钢纤维或短纤维喷射混凝土的粗骨料最大公称粒径不宜大于10mm。</w:t>
      </w:r>
    </w:p>
    <w:p>
      <w:pPr>
        <w:snapToGrid w:val="0"/>
        <w:ind w:firstLine="480" w:firstLineChars="200"/>
        <w:rPr>
          <w:color w:val="auto"/>
        </w:rPr>
      </w:pPr>
      <w:r>
        <w:rPr>
          <w:color w:val="auto"/>
        </w:rPr>
        <w:t>采用反击式、锤式破碎机生产骨料，可以获取更多球形粒形的骨料产品。用这种骨料配制的混凝土，其工作性可以得到进一步的改善，因而是骨料生产工艺改进的一个方向。</w:t>
      </w:r>
    </w:p>
    <w:p>
      <w:pPr>
        <w:tabs>
          <w:tab w:val="left" w:pos="3430"/>
        </w:tabs>
        <w:adjustRightInd w:val="0"/>
        <w:snapToGrid w:val="0"/>
        <w:rPr>
          <w:color w:val="auto"/>
        </w:rPr>
      </w:pPr>
      <w:r>
        <w:rPr>
          <w:b/>
          <w:color w:val="auto"/>
        </w:rPr>
        <w:t xml:space="preserve">4.3.1～4.3.2  </w:t>
      </w:r>
      <w:r>
        <w:rPr>
          <w:color w:val="auto"/>
        </w:rPr>
        <w:t>掺减水剂是制备高性能喷射混凝土的关键技术之一。掺加减水剂的作用，一是减少用水量来提高混凝土的耐久性，二是混凝土可获得良好的黏聚性和施工性能以满足现场施工需要。因此，减水剂的性能品质与工程原材料相适应是成功配制高性能混凝土的基本条件。</w:t>
      </w:r>
    </w:p>
    <w:p>
      <w:pPr>
        <w:tabs>
          <w:tab w:val="left" w:pos="3430"/>
        </w:tabs>
        <w:adjustRightInd w:val="0"/>
        <w:snapToGrid w:val="0"/>
        <w:ind w:firstLine="480" w:firstLineChars="200"/>
        <w:rPr>
          <w:color w:val="auto"/>
        </w:rPr>
      </w:pPr>
      <w:r>
        <w:rPr>
          <w:color w:val="auto"/>
        </w:rPr>
        <w:t>为了能够制备出满足设计要求的混凝土，现场所用减水剂必须根据现场水泥、掺和料、骨料等进行调整。针对铁路混凝土现场情况以及减水剂自身的性能特点，减水剂的抽检原则与抽检项目，抽检原则为：减水剂抽检时应与工程用水泥、掺和料、骨料等原材料同时抽检，并按工程配合比进行检验。抽检项目为减水剂的耐久性指标（硫酸钠、氯离子、碱含量）以及掺减水剂混凝土的工作性能指标（坍落度及坍落度经时变化量、含气量及含气量经时变化量、泌水率、压力泌水率、凝结时间等）。</w:t>
      </w:r>
    </w:p>
    <w:p>
      <w:pPr>
        <w:tabs>
          <w:tab w:val="left" w:pos="3430"/>
        </w:tabs>
        <w:adjustRightInd w:val="0"/>
        <w:snapToGrid w:val="0"/>
        <w:rPr>
          <w:color w:val="auto"/>
        </w:rPr>
      </w:pPr>
      <w:r>
        <w:rPr>
          <w:b/>
          <w:color w:val="auto"/>
        </w:rPr>
        <w:t xml:space="preserve">4.3.3  </w:t>
      </w:r>
      <w:r>
        <w:rPr>
          <w:color w:val="auto"/>
        </w:rPr>
        <w:t>提高混凝土的耐久性（或调整混凝土的工作性能），尤其是抗冻性，引气剂起到十分重要的作用。混凝土中掺入少量引气剂后，就能使每方混凝土中引入数千亿个微小气泡，使混凝土的抗冻融性能大大提高。国内外大量研究表明，混凝土中掺加引气剂后，对混凝土的工作性和匀质性有所提高。引气剂不仅能减少混凝土的用水量，降低泌水率，更重要的是混凝土引气后，水在拌和物中的悬浮状态更加稳定，因而可以改善骨料底部浆体泌水、沉陷等不良现象。因此适量引气是配制抗冻高性能混凝土的重要手段之一。引气剂所引气泡的直径及稳定性对混凝土的性能影响很大，因此，选择引气剂时，要检测引气混凝土的气泡间距系数，研究表明，当混凝土中气泡间距系数小于300μm时，混凝土抗冻性较高。引气剂的掺量一般为减水剂掺量的1%左右，掺量小，现场直接掺入时较难计量，针对这一情况，可对引气剂进行稀释，如按1：99（引气剂：水）比例进行稀释后再掺入。</w:t>
      </w:r>
    </w:p>
    <w:p>
      <w:pPr>
        <w:adjustRightInd w:val="0"/>
        <w:snapToGrid w:val="0"/>
        <w:rPr>
          <w:color w:val="auto"/>
        </w:rPr>
      </w:pPr>
      <w:r>
        <w:rPr>
          <w:b/>
          <w:color w:val="auto"/>
        </w:rPr>
        <w:t xml:space="preserve">4.3.4  </w:t>
      </w:r>
      <w:r>
        <w:rPr>
          <w:color w:val="auto"/>
        </w:rPr>
        <w:t>速凝剂的使用效果和最佳掺量除与其本身的性能有关外，还受水泥品种、强度等级、新鲜程度、施工温度和混凝土水灰比的影响。因此，使用速凝剂前，应进行与水泥相容性和速凝效果的检验。检验的主要项目为水泥净浆掺入速凝剂后的初、终凝时间，硬化砂浆的1d抗压强度和28d抗压强度比。液体速凝剂的性能和检验参照了《喷射混凝土用速凝剂》GB/T35159-2017的相关要求</w:t>
      </w:r>
    </w:p>
    <w:p>
      <w:pPr>
        <w:adjustRightInd w:val="0"/>
        <w:snapToGrid w:val="0"/>
        <w:ind w:firstLine="480" w:firstLineChars="200"/>
        <w:rPr>
          <w:color w:val="auto"/>
        </w:rPr>
      </w:pPr>
      <w:r>
        <w:rPr>
          <w:color w:val="auto"/>
        </w:rPr>
        <w:t>本次标准修订了速凝剂抽检试验原则：使用工程用水泥进行检验，能更准确判断速凝剂的质量优劣和施工适用性。</w:t>
      </w:r>
    </w:p>
    <w:p>
      <w:pPr>
        <w:adjustRightInd w:val="0"/>
        <w:snapToGrid w:val="0"/>
        <w:ind w:firstLine="480" w:firstLineChars="200"/>
        <w:rPr>
          <w:color w:val="auto"/>
        </w:rPr>
      </w:pPr>
      <w:r>
        <w:rPr>
          <w:color w:val="auto"/>
        </w:rPr>
        <w:t>用于喷射混凝土的外加剂主要为速凝剂。根据需要还可以使用防水剂、增粘剂和高效减水剂等外加剂。掺入适量防水剂可明显提高混凝土的抗渗性能；掺入增粘剂则能显著降低粉尘浓度和减少回弹；掺入高效减水剂可减少混凝土用水量，提高混凝土早期和后期强度。</w:t>
      </w:r>
    </w:p>
    <w:p>
      <w:pPr>
        <w:adjustRightInd w:val="0"/>
        <w:snapToGrid w:val="0"/>
        <w:ind w:firstLine="480" w:firstLineChars="200"/>
        <w:rPr>
          <w:color w:val="auto"/>
        </w:rPr>
      </w:pPr>
      <w:r>
        <w:rPr>
          <w:color w:val="auto"/>
        </w:rPr>
        <w:t>碱性速凝剂易引起混凝土后期强度损失；存在碱骨料反应的风险，不利于混凝土的耐久性；其具有极强的腐蚀性，不仅腐蚀机具，而且能严重损害人体健康。无腐蚀、无毒、无刺激性、强度损失小或无损失、质量稳定的无碱速凝剂将呈逐渐替代有碱速凝剂趋势。</w:t>
      </w:r>
    </w:p>
    <w:p>
      <w:pPr>
        <w:tabs>
          <w:tab w:val="left" w:pos="3430"/>
        </w:tabs>
        <w:adjustRightInd w:val="0"/>
        <w:snapToGrid w:val="0"/>
        <w:rPr>
          <w:color w:val="auto"/>
        </w:rPr>
      </w:pPr>
      <w:r>
        <w:rPr>
          <w:b/>
          <w:color w:val="auto"/>
        </w:rPr>
        <w:t>4.4.</w:t>
      </w:r>
      <w:r>
        <w:rPr>
          <w:rFonts w:hint="eastAsia"/>
          <w:b/>
          <w:color w:val="auto"/>
        </w:rPr>
        <w:t>1</w:t>
      </w:r>
      <w:r>
        <w:rPr>
          <w:color w:val="auto"/>
        </w:rPr>
        <w:t>纤维是纤维喷射混凝土特性材料，其品种、规格和质量直接影响混凝土的质量。规定了不同品种纤维的规格和性能指标要求，以及检验项目和检验要求。</w:t>
      </w:r>
    </w:p>
    <w:p>
      <w:pPr>
        <w:tabs>
          <w:tab w:val="left" w:pos="3430"/>
        </w:tabs>
        <w:adjustRightInd w:val="0"/>
        <w:snapToGrid w:val="0"/>
        <w:rPr>
          <w:color w:val="auto"/>
        </w:rPr>
      </w:pPr>
      <w:r>
        <w:rPr>
          <w:b/>
          <w:color w:val="auto"/>
        </w:rPr>
        <w:t>4.4.</w:t>
      </w:r>
      <w:r>
        <w:rPr>
          <w:rFonts w:hint="eastAsia"/>
          <w:b/>
          <w:color w:val="auto"/>
        </w:rPr>
        <w:t>2</w:t>
      </w:r>
      <w:r>
        <w:rPr>
          <w:color w:val="auto"/>
        </w:rPr>
        <w:t>试验表明钢纤维混凝土采用最大粒径大于20mm的骨料时，对抗拉强度和韧性有较大的削弱作用。另外，钢纤维的长度也应与混凝土所用骨料最大粒径相匹配，不应小于骨料最大粒径的1.5倍。</w:t>
      </w:r>
    </w:p>
    <w:p>
      <w:pPr>
        <w:snapToGrid w:val="0"/>
        <w:rPr>
          <w:color w:val="auto"/>
        </w:rPr>
      </w:pPr>
      <w:r>
        <w:rPr>
          <w:b/>
          <w:color w:val="auto"/>
        </w:rPr>
        <w:t>4.</w:t>
      </w:r>
      <w:r>
        <w:rPr>
          <w:rFonts w:hint="eastAsia"/>
          <w:b/>
          <w:color w:val="auto"/>
        </w:rPr>
        <w:t>4</w:t>
      </w:r>
      <w:r>
        <w:rPr>
          <w:b/>
          <w:color w:val="auto"/>
        </w:rPr>
        <w:t>.</w:t>
      </w:r>
      <w:r>
        <w:rPr>
          <w:rFonts w:hint="eastAsia"/>
          <w:b/>
          <w:color w:val="auto"/>
        </w:rPr>
        <w:t>3</w:t>
      </w:r>
      <w:r>
        <w:rPr>
          <w:color w:val="auto"/>
        </w:rPr>
        <w:t>合成纤维的吸水率对纤维混凝土需水量和工作性能的影响较大，为此检验项目中相应增加了吸水率。</w:t>
      </w:r>
    </w:p>
    <w:p>
      <w:pPr>
        <w:rPr>
          <w:color w:val="auto"/>
        </w:rPr>
      </w:pPr>
      <w:r>
        <w:rPr>
          <w:b/>
          <w:color w:val="auto"/>
        </w:rPr>
        <w:t xml:space="preserve">4.5.1  </w:t>
      </w:r>
      <w:r>
        <w:rPr>
          <w:color w:val="auto"/>
        </w:rPr>
        <w:t>现行业标准《混凝土用水标准》JGJ63对拌和水中有害物含量和拌和水对混凝土凝结时间和强度的影响要求做出了具体规定。</w:t>
      </w:r>
    </w:p>
    <w:p>
      <w:pPr>
        <w:rPr>
          <w:color w:val="auto"/>
        </w:rPr>
      </w:pPr>
      <w:r>
        <w:rPr>
          <w:b/>
          <w:color w:val="auto"/>
        </w:rPr>
        <w:t xml:space="preserve">5.1.6  </w:t>
      </w:r>
      <w:r>
        <w:rPr>
          <w:color w:val="auto"/>
        </w:rPr>
        <w:t>本条文规定喷射混凝土配合比设计应符合基本要求及设计要求。对喷射混凝土推荐优先使用硅酸盐水泥或普通硅酸水泥。硅酸盐水泥或普通硅酸水泥含有较多C</w:t>
      </w:r>
      <w:r>
        <w:rPr>
          <w:color w:val="auto"/>
          <w:vertAlign w:val="subscript"/>
        </w:rPr>
        <w:t>3</w:t>
      </w:r>
      <w:r>
        <w:rPr>
          <w:color w:val="auto"/>
        </w:rPr>
        <w:t>A和C</w:t>
      </w:r>
      <w:r>
        <w:rPr>
          <w:color w:val="auto"/>
          <w:vertAlign w:val="subscript"/>
        </w:rPr>
        <w:t>3</w:t>
      </w:r>
      <w:r>
        <w:rPr>
          <w:color w:val="auto"/>
        </w:rPr>
        <w:t>S，凝结时间较快，与速凝剂的适应性较好。当存在含硫酸盐地下水或存在碱骨料反应时，应该采用C</w:t>
      </w:r>
      <w:r>
        <w:rPr>
          <w:color w:val="auto"/>
          <w:vertAlign w:val="subscript"/>
        </w:rPr>
        <w:t>3</w:t>
      </w:r>
      <w:r>
        <w:rPr>
          <w:color w:val="auto"/>
        </w:rPr>
        <w:t>A含量较低的抗硫酸盐水泥。当在防火和防腐蚀等其他特殊要求时，可采用特种水泥。</w:t>
      </w:r>
    </w:p>
    <w:p>
      <w:pPr>
        <w:rPr>
          <w:color w:val="auto"/>
        </w:rPr>
      </w:pPr>
      <w:r>
        <w:rPr>
          <w:b/>
          <w:color w:val="auto"/>
        </w:rPr>
        <w:t xml:space="preserve">5.2.1  </w:t>
      </w:r>
      <w:r>
        <w:rPr>
          <w:color w:val="auto"/>
        </w:rPr>
        <w:t>喷射混凝土拌合物性能应符合下列规定：</w:t>
      </w:r>
    </w:p>
    <w:p>
      <w:pPr>
        <w:ind w:firstLine="480" w:firstLineChars="200"/>
        <w:rPr>
          <w:color w:val="auto"/>
        </w:rPr>
      </w:pPr>
      <w:r>
        <w:rPr>
          <w:color w:val="auto"/>
        </w:rPr>
        <w:t>与普通混凝土相比，喷射混凝土需要具有更高要求的黏性和包裹性。保证喷射混凝土的喷射效果，来降低对回弹率的影响。</w:t>
      </w:r>
    </w:p>
    <w:p>
      <w:pPr>
        <w:ind w:firstLine="480" w:firstLineChars="200"/>
        <w:rPr>
          <w:color w:val="auto"/>
        </w:rPr>
      </w:pPr>
      <w:r>
        <w:rPr>
          <w:color w:val="auto"/>
        </w:rPr>
        <w:t>随着喷射设备技术的发展，目前湿喷混凝土拌合物的性能已与普通混接近，原铁路混凝土施工技术指南提出的喷射混凝土拌合物坍落度宜为80mm～130mm，已不适合湿喷混凝土技术要求，随着湿喷设备的发展，喷射混凝土坍落度应扩大至不大于180mm。喷射混凝土拌合物坍落度是最佳喷射的状态。所以配合比设计时应考虑原材料、气候、运输距离对喷射混凝土拌合物性能的影响。</w:t>
      </w:r>
    </w:p>
    <w:p>
      <w:pPr>
        <w:ind w:firstLine="480" w:firstLineChars="200"/>
        <w:rPr>
          <w:color w:val="auto"/>
        </w:rPr>
      </w:pPr>
      <w:r>
        <w:rPr>
          <w:color w:val="auto"/>
        </w:rPr>
        <w:t>喷射混凝土在喷射时加入速凝剂后以及喷射成形的特殊工艺，因会损失一部分的含气量。对于有抗冻要求的喷射混凝土含气量不宜小于4%。</w:t>
      </w:r>
    </w:p>
    <w:p>
      <w:pPr>
        <w:ind w:firstLine="480" w:firstLineChars="200"/>
        <w:rPr>
          <w:color w:val="auto"/>
        </w:rPr>
      </w:pPr>
      <w:r>
        <w:rPr>
          <w:color w:val="auto"/>
        </w:rPr>
        <w:t>喷射混凝土氯离子含量与普通混凝土一样需满足现行铁路标准《铁路混凝土施工质量验收标准》TB10424规定。钢纤维喷射混凝土，为减少氯离子对钢纤维的腐蚀，纤维混喷射凝土氯离子含量不应超过胶凝材料总量的0.06%，普通喷射混凝土氯离子含量不应超过胶凝材料总量的0.10%。</w:t>
      </w:r>
    </w:p>
    <w:p>
      <w:pPr>
        <w:ind w:firstLine="480" w:firstLineChars="200"/>
        <w:rPr>
          <w:color w:val="auto"/>
        </w:rPr>
      </w:pPr>
      <w:r>
        <w:rPr>
          <w:color w:val="auto"/>
        </w:rPr>
        <w:t>喷射混凝土与普通混凝土的总碱含量应区别对待，因为喷射混凝土水泥用量大，计算单方混凝土总碱含量比普通混凝土大很多，因此有预防混凝土碱骨料反应设计要求的工程，喷射混凝土中总碱含量不应大3.5kg/m</w:t>
      </w:r>
      <w:r>
        <w:rPr>
          <w:color w:val="auto"/>
          <w:vertAlign w:val="superscript"/>
        </w:rPr>
        <w:t>3</w:t>
      </w:r>
      <w:r>
        <w:rPr>
          <w:color w:val="auto"/>
        </w:rPr>
        <w:t>。</w:t>
      </w:r>
    </w:p>
    <w:p>
      <w:pPr>
        <w:rPr>
          <w:color w:val="auto"/>
        </w:rPr>
      </w:pPr>
      <w:r>
        <w:rPr>
          <w:b/>
          <w:color w:val="auto"/>
        </w:rPr>
        <w:t xml:space="preserve">5.2.2  </w:t>
      </w:r>
      <w:r>
        <w:rPr>
          <w:color w:val="auto"/>
        </w:rPr>
        <w:t>喷射混凝土力学性能应符合下列规定：</w:t>
      </w:r>
    </w:p>
    <w:p>
      <w:pPr>
        <w:ind w:firstLine="480" w:firstLineChars="200"/>
        <w:rPr>
          <w:color w:val="auto"/>
        </w:rPr>
      </w:pPr>
      <w:r>
        <w:rPr>
          <w:color w:val="auto"/>
        </w:rPr>
        <w:t>由于喷射混凝土成形的特殊性，保证喷射混凝土试件的性能与实际工程中喷射混凝土性能接近，制备混凝土力学性能的试件，需在施工现场进行大板喷射，并在喷射大板上切割成100mm×100mm×100mm立方体试件或钻芯成直径为100mm高度为100mm高径比为1：1的圆柱体试件做为喷射混凝土力学性能试件。严禁采用室内直接装模。当对强度有怀疑时，可采用凿方切割方法或钻芯取样法制作试件。</w:t>
      </w:r>
    </w:p>
    <w:p>
      <w:pPr>
        <w:ind w:firstLine="480" w:firstLineChars="200"/>
        <w:rPr>
          <w:color w:val="auto"/>
        </w:rPr>
      </w:pPr>
      <w:r>
        <w:rPr>
          <w:color w:val="auto"/>
        </w:rPr>
        <w:t>喷射混凝土抗压强度标准条件养护试件的试验龄期为28d。根据隧道初期支护结构特性，必要时可测试7d和14d强度。</w:t>
      </w:r>
    </w:p>
    <w:p>
      <w:pPr>
        <w:ind w:firstLine="480" w:firstLineChars="200"/>
        <w:rPr>
          <w:color w:val="auto"/>
        </w:rPr>
      </w:pPr>
      <w:r>
        <w:rPr>
          <w:color w:val="auto"/>
        </w:rPr>
        <w:t>有早期强度要求时，喷射混凝土应进行早期强度测试。喷射混凝土早期强度可采用射钉法、无底试模检测。喷射混凝土早期强度只在配合比设计时与喷射混凝土工艺性试验时测试。喷射混凝土1d抗压强度应大于设计值的40%。</w:t>
      </w:r>
    </w:p>
    <w:p>
      <w:pPr>
        <w:rPr>
          <w:color w:val="auto"/>
        </w:rPr>
      </w:pPr>
      <w:r>
        <w:rPr>
          <w:b/>
          <w:color w:val="auto"/>
        </w:rPr>
        <w:t xml:space="preserve">5.2.3  </w:t>
      </w:r>
      <w:r>
        <w:rPr>
          <w:color w:val="auto"/>
        </w:rPr>
        <w:t>明确了喷射混凝土长期性能、耐久性能的参数及试件成型方法，喷射混凝土的主要长期性能和耐久性与普通混凝土相同，国家现行标准《普通混凝土长期性能和耐久性能试验方法标准》GB/T50082等有关混凝土长期性能和耐久性的规定同样适用于喷射混凝土。</w:t>
      </w:r>
    </w:p>
    <w:p>
      <w:pPr>
        <w:rPr>
          <w:color w:val="auto"/>
        </w:rPr>
      </w:pPr>
      <w:r>
        <w:rPr>
          <w:b/>
          <w:color w:val="auto"/>
        </w:rPr>
        <w:t xml:space="preserve">5.3.1  </w:t>
      </w:r>
      <w:r>
        <w:rPr>
          <w:color w:val="auto"/>
        </w:rPr>
        <w:t>喷射混凝土的配制强度应符合下列规定：</w:t>
      </w:r>
    </w:p>
    <w:p>
      <w:pPr>
        <w:ind w:firstLine="480" w:firstLineChars="200"/>
        <w:rPr>
          <w:color w:val="auto"/>
        </w:rPr>
      </w:pPr>
      <w:r>
        <w:rPr>
          <w:color w:val="auto"/>
        </w:rPr>
        <w:t>本条阐明了喷射混凝土配合比设计的基本要求，喷射混凝土试配对喷射混凝土试喷具有指导性，试配所得的强度是配制喷射混凝土的过程强度。配制强度应符合现行行业标准《普通混凝土配合比设计规程》JGJ55配制强度要求。</w:t>
      </w:r>
    </w:p>
    <w:p>
      <w:pPr>
        <w:ind w:firstLine="480" w:firstLineChars="200"/>
        <w:rPr>
          <w:color w:val="auto"/>
        </w:rPr>
      </w:pPr>
      <w:r>
        <w:rPr>
          <w:color w:val="auto"/>
        </w:rPr>
        <w:t>本条款对喷射混土强度标准差值进行了规定。由于喷射混凝土的离散性比普通混凝土大，且喷射混凝土强度等级一般为C20、C25、C30，及本规程第5.5条提出的高强喷射混凝土。因此根据喷射混凝强度的离散性引入本规程第5.2.1条引入</w:t>
      </w:r>
      <w:r>
        <w:rPr>
          <w:color w:val="auto"/>
        </w:rPr>
        <w:object>
          <v:shape id="_x0000_i1048" o:spt="75" type="#_x0000_t75" style="height:16.4pt;width:13.55pt;" o:ole="t" filled="f" o:preferrelative="t" stroked="f" coordsize="21600,21600">
            <v:path/>
            <v:fill on="f" focussize="0,0"/>
            <v:stroke on="f" joinstyle="miter"/>
            <v:imagedata r:id="rId62" o:title=""/>
            <o:lock v:ext="edit" aspectratio="t"/>
            <w10:wrap type="none"/>
            <w10:anchorlock/>
          </v:shape>
          <o:OLEObject Type="Embed" ProgID="Equation.3" ShapeID="_x0000_i1048" DrawAspect="Content" ObjectID="_1468075748" r:id="rId61">
            <o:LockedField>false</o:LockedField>
          </o:OLEObject>
        </w:object>
      </w:r>
      <w:r>
        <w:rPr>
          <w:color w:val="auto"/>
        </w:rPr>
        <w:t>、</w:t>
      </w:r>
      <w:r>
        <w:rPr>
          <w:color w:val="auto"/>
        </w:rPr>
        <w:object>
          <v:shape id="_x0000_i1049" o:spt="75" type="#_x0000_t75" style="height:16.4pt;width:14.95pt;" o:ole="t" filled="f" o:preferrelative="t" stroked="f" coordsize="21600,21600">
            <v:path/>
            <v:fill on="f" focussize="0,0"/>
            <v:stroke on="f" joinstyle="miter"/>
            <v:imagedata r:id="rId64" o:title=""/>
            <o:lock v:ext="edit" aspectratio="t"/>
            <w10:wrap type="none"/>
            <w10:anchorlock/>
          </v:shape>
          <o:OLEObject Type="Embed" ProgID="Equation.3" ShapeID="_x0000_i1049" DrawAspect="Content" ObjectID="_1468075749" r:id="rId63">
            <o:LockedField>false</o:LockedField>
          </o:OLEObject>
        </w:object>
      </w:r>
      <w:r>
        <w:rPr>
          <w:color w:val="auto"/>
        </w:rPr>
        <w:t>系数将喷射混凝土的离散性分解为拌合配制偏离、密实度偏离及速凝剂偏离三种。</w:t>
      </w:r>
    </w:p>
    <w:p>
      <w:pPr>
        <w:rPr>
          <w:color w:val="auto"/>
        </w:rPr>
      </w:pPr>
      <w:r>
        <w:rPr>
          <w:b/>
          <w:color w:val="auto"/>
        </w:rPr>
        <w:t xml:space="preserve">5.3.2  </w:t>
      </w:r>
      <w:r>
        <w:rPr>
          <w:color w:val="auto"/>
        </w:rPr>
        <w:t>喷射混凝土试配的水胶比应考虑喷射工艺、速凝剂对强度的影响。在无配制经验时，喷射混凝试配的水胶比宜符合下列规定：</w:t>
      </w:r>
    </w:p>
    <w:p>
      <w:pPr>
        <w:ind w:firstLine="480" w:firstLineChars="200"/>
        <w:rPr>
          <w:color w:val="auto"/>
        </w:rPr>
      </w:pPr>
      <w:r>
        <w:rPr>
          <w:color w:val="auto"/>
        </w:rPr>
        <w:t>本规程参考《喷射混凝土应用技术规程》JGJ/T372标准,喷射混土试配时水胶比计算公式结合了普通混凝土的水胶比计算公式，引入了对喷射混土强度影响较大的密实性参数与速凝剂影响参数。因为喷射混凝土水胶比除受设计强度等级影响外，还受混凝土喷射工艺及喷射密实性、速凝剂种类和掺量、环境温度及养护系数等众多因素影响。与普通混凝土相比，喷射混凝土试配时的水胶比需要考虑喷射工艺造成混凝土密实度以及速凝剂对强度的影响，如喷射混凝土试配的水胶比按现行行业标准《普通混凝土配合比设计规程》JG55进行计算，由于喷射工艺和速凝剂的影响，其试喷时得到的强度将无法满足设计要求。当无配制喷射混凝土经验时，宜根据公式（5.3.2）来计算喷射混凝土试配时的水胶比。喷射混凝土试配时水胶比计算公式（5.3.2）对喷射混凝土试喷强度具有充分的保证率。公式（5.3.2）所得的水胶比对试喷的强度起指导作用，使试喷得到的强度满足喷射混凝土配制强度要求。考虑速凝剂对混凝土强度影响系数进行了规定。根据大量工程试验数据及相关规范条文速凝剂28d强度保证率为90％～100％。由此确定速凝剂影响系数为1.10～1.20。</w:t>
      </w:r>
    </w:p>
    <w:p>
      <w:pPr>
        <w:ind w:firstLine="480" w:firstLineChars="200"/>
        <w:rPr>
          <w:color w:val="auto"/>
        </w:rPr>
      </w:pPr>
      <w:r>
        <w:rPr>
          <w:color w:val="auto"/>
        </w:rPr>
        <w:t>参考《铁路混凝土工程施工技术规程》Q/CR 9207、《铁路混凝土工程施工质量验收标准》TB 10424、《岩土锚杆与喷射混凝土支护工程技术规范》GB 50086、《高速铁路隧道工程施工技术规程》Q/CR 9604-2015、《纤维混凝土结构技术规程》CECS38等标准，对普通喷射混凝土的水胶比范围做出了规定。</w:t>
      </w:r>
    </w:p>
    <w:p>
      <w:pPr>
        <w:rPr>
          <w:color w:val="auto"/>
        </w:rPr>
      </w:pPr>
      <w:r>
        <w:rPr>
          <w:b/>
          <w:color w:val="auto"/>
        </w:rPr>
        <w:t xml:space="preserve">5.3.5  </w:t>
      </w:r>
      <w:r>
        <w:rPr>
          <w:color w:val="auto"/>
        </w:rPr>
        <w:t>喷射混凝土密实度系数根据大量试验数据及相关规范条文，湿喷工艺喷射混凝土表观密度为2200kg／m</w:t>
      </w:r>
      <w:r>
        <w:rPr>
          <w:color w:val="auto"/>
          <w:vertAlign w:val="superscript"/>
        </w:rPr>
        <w:t>3</w:t>
      </w:r>
      <w:r>
        <w:rPr>
          <w:color w:val="auto"/>
        </w:rPr>
        <w:t>～2300kg／m</w:t>
      </w:r>
      <w:r>
        <w:rPr>
          <w:color w:val="auto"/>
          <w:vertAlign w:val="superscript"/>
        </w:rPr>
        <w:t>3</w:t>
      </w:r>
      <w:r>
        <w:rPr>
          <w:color w:val="auto"/>
        </w:rPr>
        <w:t>，相对混凝土表观密度2400kg／m</w:t>
      </w:r>
      <w:r>
        <w:rPr>
          <w:color w:val="auto"/>
          <w:vertAlign w:val="superscript"/>
        </w:rPr>
        <w:t>3</w:t>
      </w:r>
      <w:r>
        <w:rPr>
          <w:color w:val="auto"/>
        </w:rPr>
        <w:t>计算，湿拌法混凝土孔隙率为0～4.0％，根据孔隙增加1％强度折现行行业标准《普通混极土配合比设计规程》JGJ55制定减5％计算，湿拌法强度折减0～20％，由此计算出密实度系数：湿拌法1.05～1.25。根据喷射混凝土的工作性、可泵程度，本条文对湿拌法喷射混凝土的表观密度进行规定。喷射混土的表观密度不应低于2200kg／m</w:t>
      </w:r>
      <w:r>
        <w:rPr>
          <w:color w:val="auto"/>
          <w:vertAlign w:val="superscript"/>
        </w:rPr>
        <w:t>3</w:t>
      </w:r>
      <w:r>
        <w:rPr>
          <w:color w:val="auto"/>
        </w:rPr>
        <w:t>，高强喷射混土的表观密度不应低于2300kg／m</w:t>
      </w:r>
      <w:r>
        <w:rPr>
          <w:color w:val="auto"/>
          <w:vertAlign w:val="superscript"/>
        </w:rPr>
        <w:t>3</w:t>
      </w:r>
      <w:r>
        <w:rPr>
          <w:color w:val="auto"/>
        </w:rPr>
        <w:t>。</w:t>
      </w:r>
    </w:p>
    <w:p>
      <w:pPr>
        <w:rPr>
          <w:color w:val="auto"/>
        </w:rPr>
      </w:pPr>
      <w:r>
        <w:rPr>
          <w:b/>
          <w:color w:val="auto"/>
        </w:rPr>
        <w:t xml:space="preserve">5.3.6  </w:t>
      </w:r>
      <w:r>
        <w:rPr>
          <w:color w:val="auto"/>
        </w:rPr>
        <w:t>喷射混凝土中减水剂、速凝剂掺量受水泥品种、强度等级、施工温度和混凝土水灰比的影响。因此喷射混凝土所用减水剂、速凝剂应进行与水泥相容性试验，根据效果确定掺量。喷射混凝土的用水量进行了规定。用水量过大，会造成喷射混凝土的强度降低和喷射时的跌浆、剥落。反之，用水量过小，喷射混凝土的粉尘和回弹都会增加。喷射混凝土的各种试验表明，宜选用具有一定流动性的混凝土拌合物。</w:t>
      </w:r>
    </w:p>
    <w:p>
      <w:pPr>
        <w:rPr>
          <w:color w:val="auto"/>
        </w:rPr>
      </w:pPr>
      <w:r>
        <w:rPr>
          <w:b/>
          <w:color w:val="auto"/>
        </w:rPr>
        <w:t xml:space="preserve">5.3.7 </w:t>
      </w:r>
      <w:r>
        <w:rPr>
          <w:color w:val="auto"/>
        </w:rPr>
        <w:t xml:space="preserve"> 砂率对喷射混凝土的施工性能和力学性能均有较大影响。当砂率小于45%时，管路易堵塞，当砂率大于60%时，则明显降低混凝土强度，加大混凝土收缩。本条文对喷射混凝土的砂率进行规定。</w:t>
      </w:r>
    </w:p>
    <w:p>
      <w:pPr>
        <w:rPr>
          <w:color w:val="auto"/>
        </w:rPr>
      </w:pPr>
      <w:r>
        <w:rPr>
          <w:b/>
          <w:color w:val="auto"/>
        </w:rPr>
        <w:t xml:space="preserve">5.3.8  </w:t>
      </w:r>
      <w:r>
        <w:rPr>
          <w:color w:val="auto"/>
        </w:rPr>
        <w:t>本条文参考《铁路混凝土施工技术规程》Q/CR9207对喷射钢纤维混凝土中钢纤维掺量进行了规定。喷射混凝土钢纤维掺量宜根据弯曲韧度指标确定，并应考虑到喷射时钢纤维混凝土各组分回弹率不同的影响。喷射钢纤维混凝土的钢纤维实际掺量不宜大于78.5kg/m</w:t>
      </w:r>
      <w:r>
        <w:rPr>
          <w:color w:val="auto"/>
          <w:vertAlign w:val="superscript"/>
        </w:rPr>
        <w:t>3</w:t>
      </w:r>
      <w:r>
        <w:rPr>
          <w:color w:val="auto"/>
        </w:rPr>
        <w:t>。合成纤维掺量应通过试验确定。在无特殊要求情况下，常用掺量为0.8kg/m</w:t>
      </w:r>
      <w:r>
        <w:rPr>
          <w:color w:val="auto"/>
          <w:vertAlign w:val="superscript"/>
        </w:rPr>
        <w:t>3</w:t>
      </w:r>
      <w:r>
        <w:rPr>
          <w:color w:val="auto"/>
        </w:rPr>
        <w:t>～1.2kg/m</w:t>
      </w:r>
      <w:r>
        <w:rPr>
          <w:color w:val="auto"/>
          <w:vertAlign w:val="superscript"/>
        </w:rPr>
        <w:t>3</w:t>
      </w:r>
      <w:r>
        <w:rPr>
          <w:color w:val="auto"/>
        </w:rPr>
        <w:t>。</w:t>
      </w:r>
    </w:p>
    <w:p>
      <w:pPr>
        <w:rPr>
          <w:color w:val="auto"/>
        </w:rPr>
      </w:pPr>
      <w:r>
        <w:rPr>
          <w:b/>
          <w:color w:val="auto"/>
        </w:rPr>
        <w:t xml:space="preserve">5.4.1 </w:t>
      </w:r>
      <w:r>
        <w:rPr>
          <w:color w:val="auto"/>
        </w:rPr>
        <w:t>喷射混凝土的配合比试配过程与普通混凝土相同，条文第5.3.3～6.2.1条根据既行行业标准《普通混凝土能合比设计规程）JGJ55制定</w:t>
      </w:r>
      <w:r>
        <w:rPr>
          <w:rFonts w:hint="eastAsia"/>
          <w:color w:val="auto"/>
        </w:rPr>
        <w:t>。</w:t>
      </w:r>
    </w:p>
    <w:p>
      <w:pPr>
        <w:rPr>
          <w:color w:val="auto"/>
        </w:rPr>
      </w:pPr>
      <w:r>
        <w:rPr>
          <w:b/>
          <w:color w:val="auto"/>
        </w:rPr>
        <w:t xml:space="preserve">5.4.2 </w:t>
      </w:r>
      <w:r>
        <w:rPr>
          <w:color w:val="auto"/>
        </w:rPr>
        <w:t>喷射混土配合比设计包括试配、试喷、调整等过程，前一部分是根据破射的性能要求计算得出配合比，后一部分以计算配合比为前提，通过试喷、调整和验证确定设计配合比，根据试喷过程中喷射混凝土的回弹率及混土质量进行喷射混土配合比优化，为保证喷射混土的力学和耐久性，试喷的主要原则是在水校比保持不变条件下优化配合比。根据实测混凝土拌和物的表观密度，求出校正系数，对试验室理论配合比进行校正（即以理论配合比中每项材料用量乘以校正系数），即得到混凝土的实际理论配合比。</w:t>
      </w:r>
    </w:p>
    <w:p>
      <w:pPr>
        <w:ind w:firstLine="480" w:firstLineChars="200"/>
        <w:rPr>
          <w:color w:val="auto"/>
        </w:rPr>
      </w:pPr>
      <w:r>
        <w:rPr>
          <w:color w:val="auto"/>
        </w:rPr>
        <w:t>校正系数按下式计算校正系数＝实测拌和物表观密度／试验室理论配合比拌和物表观密度</w:t>
      </w:r>
    </w:p>
    <w:p>
      <w:pPr>
        <w:rPr>
          <w:color w:val="auto"/>
        </w:rPr>
      </w:pPr>
      <w:r>
        <w:rPr>
          <w:b/>
          <w:color w:val="auto"/>
        </w:rPr>
        <w:t xml:space="preserve">5.4.3  </w:t>
      </w:r>
      <w:r>
        <w:rPr>
          <w:color w:val="auto"/>
        </w:rPr>
        <w:t>配合比试喷中的喷射混凝土强度试验主要为调整水胶比，确定合理的水胶比，进而调整配合比各参数，为获得合理的强度提供依据。</w:t>
      </w:r>
    </w:p>
    <w:p>
      <w:pPr>
        <w:rPr>
          <w:color w:val="auto"/>
        </w:rPr>
      </w:pPr>
      <w:r>
        <w:rPr>
          <w:b/>
          <w:color w:val="auto"/>
        </w:rPr>
        <w:t xml:space="preserve">5.4.4  </w:t>
      </w:r>
      <w:r>
        <w:rPr>
          <w:color w:val="auto"/>
        </w:rPr>
        <w:t>喷射混凝土设计配合比除应符合喷射混凝土的施工要求和强度外，对设计提出的喷射混凝土时耐久性进行试验验证，也是喷射混凝土配合比设计重要的部分。</w:t>
      </w:r>
    </w:p>
    <w:p>
      <w:pPr>
        <w:rPr>
          <w:color w:val="auto"/>
        </w:rPr>
      </w:pPr>
      <w:r>
        <w:rPr>
          <w:b/>
          <w:color w:val="auto"/>
        </w:rPr>
        <w:t xml:space="preserve">5.4.6  </w:t>
      </w:r>
      <w:r>
        <w:rPr>
          <w:color w:val="auto"/>
        </w:rPr>
        <w:t>采用设计配合比进行试生产并对配合比进行相应调整是确定施工配合比不可缺少的环节。</w:t>
      </w:r>
    </w:p>
    <w:p>
      <w:pPr>
        <w:rPr>
          <w:color w:val="auto"/>
        </w:rPr>
      </w:pPr>
      <w:r>
        <w:rPr>
          <w:b/>
          <w:color w:val="auto"/>
        </w:rPr>
        <w:t xml:space="preserve">5.5.1  </w:t>
      </w:r>
      <w:r>
        <w:rPr>
          <w:color w:val="auto"/>
        </w:rPr>
        <w:t>随着高速铁路建设规模不断扩大,铁路工程隧道的数量不断增加, 喷射混凝土作为施工过程中初期支护体系重要组成部分,因其具有封闭及时、施工快速和紧贴围岩等特点。初期支护用喷射混凝土以强度等级多以C20和C25的喷射混凝土为主。对地质条件较差的围岩，为增加喷射混凝士初期支护刚度.往往通过增大喷射厚度来实现。研究表明.喷射混凝上厚度过大.会对初期支护结构造成一系列不利影响，如增大弯曲应力、脆性以及施工成本等。因此，不宜盲目增大喷射混凝上的厚度.而应对喷射混凝土的性能进行优化.提高喷射混凝土的力学性能和耐久性能。针对上述情况本规程提出了高强喷射混凝土。</w:t>
      </w:r>
    </w:p>
    <w:p>
      <w:pPr>
        <w:ind w:firstLine="480" w:firstLineChars="200"/>
        <w:rPr>
          <w:color w:val="auto"/>
        </w:rPr>
      </w:pPr>
      <w:r>
        <w:rPr>
          <w:color w:val="auto"/>
        </w:rPr>
        <w:t>本条对高强喷射混土的原材料及配合比进行了规定。水泥应选用42.5或52.5级硅酸盐水泥或普通硅酸盐水泥。</w:t>
      </w:r>
    </w:p>
    <w:p>
      <w:pPr>
        <w:rPr>
          <w:color w:val="auto"/>
        </w:rPr>
      </w:pPr>
      <w:r>
        <w:rPr>
          <w:b/>
          <w:color w:val="auto"/>
        </w:rPr>
        <w:t xml:space="preserve">5.5.3  </w:t>
      </w:r>
      <w:r>
        <w:rPr>
          <w:color w:val="auto"/>
        </w:rPr>
        <w:t>高强喷射混凝土的水胶比范围较窄，因此与普通高强混凝土一样相应减小水胶比变化范围。</w:t>
      </w:r>
    </w:p>
    <w:p>
      <w:pPr>
        <w:rPr>
          <w:color w:val="auto"/>
        </w:rPr>
      </w:pPr>
      <w:r>
        <w:rPr>
          <w:b/>
          <w:color w:val="auto"/>
        </w:rPr>
        <w:t xml:space="preserve">6.1.1  </w:t>
      </w:r>
      <w:r>
        <w:rPr>
          <w:color w:val="auto"/>
        </w:rPr>
        <w:t>采用强制式搅拌机拌制的混凝土质量比较均匀，搅拌机的功率大、效率高，混凝土拌和物的质量也相对稳定。采用电子计量设备可以保障拌和物的质量稳定。</w:t>
      </w:r>
    </w:p>
    <w:p>
      <w:pPr>
        <w:rPr>
          <w:color w:val="auto"/>
        </w:rPr>
      </w:pPr>
      <w:r>
        <w:rPr>
          <w:b/>
          <w:color w:val="auto"/>
        </w:rPr>
        <w:t xml:space="preserve">6.1.2  </w:t>
      </w:r>
      <w:r>
        <w:rPr>
          <w:color w:val="auto"/>
        </w:rPr>
        <w:t>搅拌罐车卸料困难或混凝土坍落度损失过大情况时有发生，此时如果向罐车内加水，对喷射混凝土质量影响极大。</w:t>
      </w:r>
    </w:p>
    <w:p>
      <w:pPr>
        <w:rPr>
          <w:color w:val="auto"/>
        </w:rPr>
      </w:pPr>
      <w:r>
        <w:rPr>
          <w:b/>
          <w:color w:val="auto"/>
        </w:rPr>
        <w:t xml:space="preserve">6.1.3  </w:t>
      </w:r>
      <w:r>
        <w:rPr>
          <w:color w:val="auto"/>
        </w:rPr>
        <w:t>搅拌站信息管理系统要能实现材料进场与混凝土出站信息管理、重点场所及关键生产过程监控、自动生成统计数据报表、误差超标报警提示等功能，与搅拌站既有生产控制系统相互兼容。</w:t>
      </w:r>
    </w:p>
    <w:p>
      <w:pPr>
        <w:rPr>
          <w:color w:val="auto"/>
        </w:rPr>
      </w:pPr>
      <w:r>
        <w:rPr>
          <w:b/>
          <w:color w:val="auto"/>
        </w:rPr>
        <w:t xml:space="preserve">6.2.1  </w:t>
      </w:r>
      <w:r>
        <w:rPr>
          <w:color w:val="auto"/>
        </w:rPr>
        <w:t>全自动计量配料的拌和站生产效率高，混凝土质量稳定。拌和站的生产能力应与喷射混凝土单位时间最大需求量相匹配，保证喷射混凝土正常供应。</w:t>
      </w:r>
    </w:p>
    <w:p>
      <w:pPr>
        <w:rPr>
          <w:color w:val="auto"/>
        </w:rPr>
      </w:pPr>
      <w:r>
        <w:rPr>
          <w:b/>
          <w:color w:val="auto"/>
        </w:rPr>
        <w:t xml:space="preserve">6.2.2  </w:t>
      </w:r>
      <w:r>
        <w:rPr>
          <w:color w:val="auto"/>
        </w:rPr>
        <w:t>为保证喷射混凝土搅拌均匀，本条参考《铁路混凝土施工技术规程》Q/CR9207规程对普通喷射混凝土、喷射钢纤维混凝土与喷射合成纤维混凝土的搅拌时间进行明确。当搅拌高强混凝土时，搅拌时间应适当延长。对于双卧轴强制式搅拌机，可在保证搅拌均匀的前提下适当缩短搅拌时间、混凝土搅拌时间应每班检查2次冬期施工搅拌时间宜较常温施工延长50%左右。</w:t>
      </w:r>
    </w:p>
    <w:p>
      <w:pPr>
        <w:ind w:firstLine="480" w:firstLineChars="200"/>
        <w:rPr>
          <w:color w:val="auto"/>
        </w:rPr>
      </w:pPr>
      <w:r>
        <w:rPr>
          <w:color w:val="auto"/>
        </w:rPr>
        <w:t>搅拌时间应以自全部材料装人搅拌机开始搅拌至搅拌结束开始卸料所用时间计算，混凝土连续搅拌时间应根据配合比和搅拌设备情况通过试验确定,但最短搅拌时间不宜少于90S。混凝土的匀质性应满足要求，混凝土中砂浆密度的相对偏差不大于0.8%，粗骨料质量的相对偏差不大于5%</w:t>
      </w:r>
      <w:r>
        <w:rPr>
          <w:i/>
          <w:color w:val="auto"/>
        </w:rPr>
        <w:t>。</w:t>
      </w:r>
    </w:p>
    <w:p>
      <w:pPr>
        <w:rPr>
          <w:color w:val="auto"/>
        </w:rPr>
      </w:pPr>
      <w:r>
        <w:rPr>
          <w:b/>
          <w:color w:val="auto"/>
        </w:rPr>
        <w:t xml:space="preserve">6.2.4  </w:t>
      </w:r>
      <w:r>
        <w:rPr>
          <w:color w:val="auto"/>
        </w:rPr>
        <w:t>为使喷射混凝土搅拌后拌和物各种材料用量与批准的施工配合比一致。各种原材料计量设备的最大允许偏差应符合下列规定(按重量计):胶凝材料(水泥、矿物掺和料等)±1%;外加剂士±1% ;粗、细骨料±2% ;拌和用水±1%；纤维±1%。</w:t>
      </w:r>
    </w:p>
    <w:p>
      <w:pPr>
        <w:rPr>
          <w:color w:val="auto"/>
        </w:rPr>
      </w:pPr>
      <w:r>
        <w:rPr>
          <w:b/>
          <w:color w:val="auto"/>
        </w:rPr>
        <w:t xml:space="preserve">6.2.5  </w:t>
      </w:r>
      <w:r>
        <w:rPr>
          <w:color w:val="auto"/>
        </w:rPr>
        <w:t>喷射混凝土拌和物与普通混凝土拌和物相近，本规程参考《铁路混凝土施工技术规程》Q/CR9207对喷射混凝土及喷射纤维混凝土搅拌投料顺序进行了明确。原材料投料方式应满足混凝土搅拌技术要求和混凝土拌和物质量要求。</w:t>
      </w:r>
    </w:p>
    <w:p>
      <w:pPr>
        <w:ind w:firstLine="480" w:firstLineChars="200"/>
        <w:rPr>
          <w:color w:val="auto"/>
        </w:rPr>
      </w:pPr>
      <w:r>
        <w:rPr>
          <w:color w:val="auto"/>
        </w:rPr>
        <w:t>搅拌时的投料顺序宜为：先向搅拌机投入骨料、水泥和矿物掺合料，搅拌均匀后，再加水和液体外加剂，纤维混凝土一般最后添加纤维，直至搅拌均匀为止。粉状外加剂与矿物掺合料同时加入。水泥的入机温度不应高于70℃。</w:t>
      </w:r>
    </w:p>
    <w:p>
      <w:pPr>
        <w:rPr>
          <w:color w:val="auto"/>
        </w:rPr>
      </w:pPr>
      <w:r>
        <w:rPr>
          <w:b/>
          <w:color w:val="auto"/>
        </w:rPr>
        <w:t xml:space="preserve">6.2.6  </w:t>
      </w:r>
      <w:r>
        <w:rPr>
          <w:color w:val="auto"/>
        </w:rPr>
        <w:t>为保证喷射混凝土原材料质量，本条明确了用于喷射混凝土原材料在运输、储存过程中的注意事项。散装水泥储存过程中,应采取降低水泥的温度或防止水泥升温的措施。袋装水泥和矿物掺合料的仓库应设在地势较高处,周围应设排水沟。外加剂应采用仓库储存,冬期应采取保温措施以防止外加剂受冻或出现低温结晶现象。骨料的储料仓应具有防晒、防水和防污染的功能。</w:t>
      </w:r>
    </w:p>
    <w:p>
      <w:pPr>
        <w:ind w:firstLine="480" w:firstLineChars="200"/>
        <w:rPr>
          <w:color w:val="auto"/>
        </w:rPr>
      </w:pPr>
      <w:r>
        <w:rPr>
          <w:color w:val="auto"/>
        </w:rPr>
        <w:t>不同原材料应有固定的堆放地点和明确的标识，标明材料名称、品种、生产厂家、生产日期和进场日期。原材料堆放时应有堆放分界标识、以免误用。</w:t>
      </w:r>
    </w:p>
    <w:p>
      <w:pPr>
        <w:ind w:firstLine="480" w:firstLineChars="200"/>
        <w:rPr>
          <w:color w:val="auto"/>
        </w:rPr>
      </w:pPr>
      <w:r>
        <w:rPr>
          <w:color w:val="auto"/>
        </w:rPr>
        <w:t>原材料进场后,应及时建立原材料管理台账，台账内容应包括材料的名称、生产日期、进场日期、品种、规格、数量、生产单位、供货单位、质量证明书编号、检验报告编号及检验结果等。原材料管理台账应填写正确，真实,项目齐全。</w:t>
      </w:r>
    </w:p>
    <w:p>
      <w:pPr>
        <w:rPr>
          <w:color w:val="auto"/>
        </w:rPr>
      </w:pPr>
      <w:r>
        <w:rPr>
          <w:b/>
          <w:color w:val="auto"/>
        </w:rPr>
        <w:t xml:space="preserve">6.3.2  </w:t>
      </w:r>
      <w:r>
        <w:rPr>
          <w:color w:val="auto"/>
        </w:rPr>
        <w:t>本条结合《铁路混凝土拌和站机械配置技术规程》Q/CR 9223和《铁路混凝土施工技术规程》Q/CR 9207，对喷射混凝土搅拌运输车运送喷射混凝土时的要求做出了规定。国产混凝土搅拌运输车的搅拌正常速度为6r/min～12r/min，搅动转速为2r/min～4r/min。</w:t>
      </w:r>
    </w:p>
    <w:p>
      <w:pPr>
        <w:rPr>
          <w:color w:val="auto"/>
        </w:rPr>
      </w:pPr>
      <w:r>
        <w:rPr>
          <w:b/>
          <w:color w:val="auto"/>
        </w:rPr>
        <w:t xml:space="preserve">6.3.3  </w:t>
      </w:r>
      <w:r>
        <w:rPr>
          <w:color w:val="auto"/>
        </w:rPr>
        <w:t>随着混凝土外加剂技术的发展，调整混凝土拌和物的可操作时间并满足硬化混凝土性能要求比较容易，因此，尽量控制混凝出机至现场喷射不超过120min是可行的。</w:t>
      </w:r>
    </w:p>
    <w:p>
      <w:pPr>
        <w:ind w:firstLine="480" w:firstLineChars="200"/>
        <w:rPr>
          <w:color w:val="auto"/>
        </w:rPr>
      </w:pPr>
      <w:r>
        <w:rPr>
          <w:color w:val="auto"/>
        </w:rPr>
        <w:t>采用搅拌罐车运送混凝土拌和物时，卸料前应采用快档旋转搅拌罐不少于20s</w:t>
      </w:r>
      <w:r>
        <w:rPr>
          <w:rFonts w:hint="eastAsia"/>
          <w:color w:val="auto"/>
        </w:rPr>
        <w:t>。</w:t>
      </w:r>
      <w:r>
        <w:rPr>
          <w:color w:val="auto"/>
        </w:rPr>
        <w:t>因运距过远、交通或现场等问题造成坍落度损失较大而卸料困难时，可采用在混凝土拌和物中加入适量减水剂并快档旋转搅罐的措施，减水剂掺量应有经试验确定的预案，但不得加水。</w:t>
      </w:r>
    </w:p>
    <w:p>
      <w:pPr>
        <w:rPr>
          <w:color w:val="auto"/>
        </w:rPr>
      </w:pPr>
      <w:r>
        <w:rPr>
          <w:b/>
          <w:color w:val="auto"/>
        </w:rPr>
        <w:t xml:space="preserve">6.3.4  </w:t>
      </w:r>
      <w:r>
        <w:rPr>
          <w:color w:val="auto"/>
        </w:rPr>
        <w:t>本条规定了喷射混凝土工程冬、夏期施工的条件，冬、夏期施工要制定相应的措施，保证工程质量。冬季施工要加强保温保湿养护。由于要控制混凝土拌和物喷射时的温度在5℃～35℃范围以内，所以对搅拌罐车的搅拌罐做出保温隔热的规定。搅拌罐在冬期应有保温措施，夏季最高气温超过40℃时，应有隔热措施。</w:t>
      </w:r>
    </w:p>
    <w:p>
      <w:pPr>
        <w:rPr>
          <w:color w:val="auto"/>
        </w:rPr>
      </w:pPr>
      <w:r>
        <w:rPr>
          <w:b/>
          <w:color w:val="auto"/>
        </w:rPr>
        <w:t xml:space="preserve">6.3.5  </w:t>
      </w:r>
      <w:r>
        <w:rPr>
          <w:color w:val="auto"/>
        </w:rPr>
        <w:t>运输设备应具备防止混凝土发生离析、漏浆、泌水以及防晒及防冻等功能。</w:t>
      </w:r>
    </w:p>
    <w:p>
      <w:pPr>
        <w:rPr>
          <w:color w:val="auto"/>
        </w:rPr>
      </w:pPr>
      <w:r>
        <w:rPr>
          <w:b/>
          <w:color w:val="auto"/>
        </w:rPr>
        <w:t xml:space="preserve">7.1.1  </w:t>
      </w:r>
      <w:r>
        <w:rPr>
          <w:color w:val="auto"/>
        </w:rPr>
        <w:t>施工前应编制喷射混凝土施工作业指导书，包括：施工前的准备工作，设备进场和安置，混凝土制备和运输，配置相应的专业人员，现场的喷射作业安排和混凝土养护等。工艺性试验的目的是为了确定与现场实际（机械、人员、条件等）相匹配的最优配合比。当现场施工环境变化时应及时进行再次试验，合理调整配合比。</w:t>
      </w:r>
    </w:p>
    <w:p>
      <w:pPr>
        <w:rPr>
          <w:color w:val="auto"/>
        </w:rPr>
      </w:pPr>
      <w:r>
        <w:rPr>
          <w:b/>
          <w:color w:val="auto"/>
        </w:rPr>
        <w:t xml:space="preserve">7.1.2  </w:t>
      </w:r>
      <w:r>
        <w:rPr>
          <w:color w:val="auto"/>
        </w:rPr>
        <w:t>喷射混凝土的质量受操作手的影响较大，应选择经验丰富的操作手。在喷射混凝土施工前，应对施工人员进行培训，考核合格后方可上岗。</w:t>
      </w:r>
    </w:p>
    <w:p>
      <w:pPr>
        <w:rPr>
          <w:color w:val="auto"/>
        </w:rPr>
      </w:pPr>
      <w:r>
        <w:rPr>
          <w:b/>
          <w:color w:val="auto"/>
        </w:rPr>
        <w:t xml:space="preserve">7.1.3  </w:t>
      </w:r>
      <w:r>
        <w:rPr>
          <w:color w:val="auto"/>
        </w:rPr>
        <w:t>为了保证喷射混凝土的质量，应保证其前一道工序已完成及验收合格后，才可进行喷射混凝土施工。</w:t>
      </w:r>
    </w:p>
    <w:p>
      <w:pPr>
        <w:rPr>
          <w:color w:val="auto"/>
        </w:rPr>
      </w:pPr>
      <w:r>
        <w:rPr>
          <w:b/>
          <w:color w:val="auto"/>
        </w:rPr>
        <w:t xml:space="preserve">7.2.1  </w:t>
      </w:r>
      <w:r>
        <w:rPr>
          <w:color w:val="auto"/>
        </w:rPr>
        <w:t>为了保证喷射混凝土质量，减少施工中的回弹率和粉尘浓度，提高作业效率，喷射设备的选择应参考工程尺寸和结构、混凝土配合比和喷射数量等施工条件，选择可获得良好施工性和经济性的喷射设备。</w:t>
      </w:r>
    </w:p>
    <w:p>
      <w:pPr>
        <w:rPr>
          <w:color w:val="auto"/>
        </w:rPr>
      </w:pPr>
      <w:r>
        <w:rPr>
          <w:b/>
          <w:color w:val="auto"/>
        </w:rPr>
        <w:t>7.2.</w:t>
      </w:r>
      <w:r>
        <w:rPr>
          <w:rFonts w:hint="eastAsia"/>
          <w:b/>
          <w:color w:val="auto"/>
        </w:rPr>
        <w:t>3</w:t>
      </w:r>
      <w:r>
        <w:rPr>
          <w:color w:val="auto"/>
        </w:rPr>
        <w:t>喷射混凝土如果采用风压，需配置专用的空气压缩机，压缩机的排风量决定了喷射设备的输送能力，因而稳定的风压和足够的风量，是喷射作业顺利进行和混凝土密实的保证。</w:t>
      </w:r>
    </w:p>
    <w:p>
      <w:pPr>
        <w:rPr>
          <w:b/>
          <w:color w:val="auto"/>
        </w:rPr>
      </w:pPr>
      <w:r>
        <w:rPr>
          <w:b/>
          <w:color w:val="auto"/>
        </w:rPr>
        <w:t>7.4.</w:t>
      </w:r>
      <w:r>
        <w:rPr>
          <w:rFonts w:hint="eastAsia"/>
          <w:b/>
          <w:color w:val="auto"/>
        </w:rPr>
        <w:t>4</w:t>
      </w:r>
      <w:r>
        <w:rPr>
          <w:color w:val="auto"/>
        </w:rPr>
        <w:t xml:space="preserve">喷射混凝土厚度是评价喷射混凝土工程质量的主要项目之一，实际工程中，经常发生因厚度不足引起混凝土开裂、离鼓和剥落现象，或是过喷造成材料浪费和初支侵限，因此施工中必须控制好喷射厚度。一般可利用外露于初喷面的锚杆尾端或埋设标钉等方法来控制喷射混凝土厚度。 </w:t>
      </w:r>
    </w:p>
    <w:p>
      <w:pPr>
        <w:rPr>
          <w:color w:val="auto"/>
        </w:rPr>
      </w:pPr>
      <w:r>
        <w:rPr>
          <w:b/>
          <w:color w:val="auto"/>
        </w:rPr>
        <w:t>7.</w:t>
      </w:r>
      <w:r>
        <w:rPr>
          <w:rFonts w:hint="eastAsia"/>
          <w:b/>
          <w:color w:val="auto"/>
        </w:rPr>
        <w:t>5</w:t>
      </w:r>
      <w:r>
        <w:rPr>
          <w:b/>
          <w:color w:val="auto"/>
        </w:rPr>
        <w:t>.</w:t>
      </w:r>
      <w:r>
        <w:rPr>
          <w:rFonts w:hint="eastAsia"/>
          <w:b/>
          <w:color w:val="auto"/>
        </w:rPr>
        <w:t>1</w:t>
      </w:r>
      <w:r>
        <w:rPr>
          <w:color w:val="auto"/>
        </w:rPr>
        <w:t>试喷的目的是为了检验设备是否正常运转，混凝土性能是否合格。</w:t>
      </w:r>
    </w:p>
    <w:p>
      <w:pPr>
        <w:rPr>
          <w:color w:val="auto"/>
        </w:rPr>
      </w:pPr>
      <w:r>
        <w:rPr>
          <w:b/>
          <w:color w:val="auto"/>
        </w:rPr>
        <w:t>7.</w:t>
      </w:r>
      <w:r>
        <w:rPr>
          <w:rFonts w:hint="eastAsia"/>
          <w:b/>
          <w:color w:val="auto"/>
        </w:rPr>
        <w:t>5</w:t>
      </w:r>
      <w:r>
        <w:rPr>
          <w:b/>
          <w:color w:val="auto"/>
        </w:rPr>
        <w:t>.</w:t>
      </w:r>
      <w:r>
        <w:rPr>
          <w:rFonts w:hint="eastAsia"/>
          <w:b/>
          <w:color w:val="auto"/>
        </w:rPr>
        <w:t>2</w:t>
      </w:r>
      <w:r>
        <w:rPr>
          <w:color w:val="auto"/>
        </w:rPr>
        <w:t xml:space="preserve">  本条规定了混凝土喷射机械料斗内混凝土及输送管内混凝土在作业中断时的操作方法，应根据中断时间及混凝土拌合物性能采取相应的措施。</w:t>
      </w:r>
    </w:p>
    <w:p>
      <w:pPr>
        <w:rPr>
          <w:color w:val="auto"/>
        </w:rPr>
      </w:pPr>
      <w:r>
        <w:rPr>
          <w:b/>
          <w:color w:val="auto"/>
        </w:rPr>
        <w:t>7.</w:t>
      </w:r>
      <w:r>
        <w:rPr>
          <w:rFonts w:hint="eastAsia"/>
          <w:b/>
          <w:color w:val="auto"/>
        </w:rPr>
        <w:t>5</w:t>
      </w:r>
      <w:r>
        <w:rPr>
          <w:b/>
          <w:color w:val="auto"/>
        </w:rPr>
        <w:t>.</w:t>
      </w:r>
      <w:r>
        <w:rPr>
          <w:rFonts w:hint="eastAsia"/>
          <w:b/>
          <w:color w:val="auto"/>
        </w:rPr>
        <w:t>3</w:t>
      </w:r>
      <w:r>
        <w:rPr>
          <w:color w:val="auto"/>
        </w:rPr>
        <w:t>喷射顺序自下而上可避免松散的回弹物粘污尚未喷射的待喷面，同时能起到下部喷射层对上部的支撑作用，可减少或防止喷层的松脱和坠落。</w:t>
      </w:r>
    </w:p>
    <w:p>
      <w:pPr>
        <w:rPr>
          <w:color w:val="auto"/>
        </w:rPr>
      </w:pPr>
      <w:r>
        <w:rPr>
          <w:b/>
          <w:color w:val="auto"/>
        </w:rPr>
        <w:t>7.</w:t>
      </w:r>
      <w:r>
        <w:rPr>
          <w:rFonts w:hint="eastAsia"/>
          <w:b/>
          <w:color w:val="auto"/>
        </w:rPr>
        <w:t>5</w:t>
      </w:r>
      <w:r>
        <w:rPr>
          <w:b/>
          <w:color w:val="auto"/>
        </w:rPr>
        <w:t>.</w:t>
      </w:r>
      <w:r>
        <w:rPr>
          <w:rFonts w:hint="eastAsia"/>
          <w:b/>
          <w:color w:val="auto"/>
        </w:rPr>
        <w:t>4</w:t>
      </w:r>
      <w:r>
        <w:rPr>
          <w:color w:val="auto"/>
        </w:rPr>
        <w:t>《喷射混凝土应用技术规程》JGJT372-2016中规定，喷头与受喷面的最佳距离一板为1.0～2.0m。若喷头离受喷面太近，压缩空气会将刚粘结在受喷面上的混凝土吹走，导致回弹率增大；若喷头离受喷面太远，混凝土的密实性降低，导致强度降低。</w:t>
      </w:r>
    </w:p>
    <w:p>
      <w:pPr>
        <w:ind w:firstLine="480" w:firstLineChars="200"/>
        <w:rPr>
          <w:color w:val="auto"/>
        </w:rPr>
      </w:pPr>
      <w:r>
        <w:rPr>
          <w:color w:val="auto"/>
        </w:rPr>
        <w:t>《高速铁路隧道工程施工质量验收标准》中已有明确规定，一次喷射混凝土厚度要适当，过薄则骨料不易黏结牢固，增加回弹量，一次喷射过厚，因初期混凝土粘贴强度较小，会在重力及后一层喷射冲击力作用下与围岩分离，形成掉块，所以对分层厚度及间隔时间做出规定。</w:t>
      </w:r>
    </w:p>
    <w:p>
      <w:pPr>
        <w:rPr>
          <w:b/>
          <w:color w:val="auto"/>
        </w:rPr>
      </w:pPr>
      <w:r>
        <w:rPr>
          <w:b/>
          <w:color w:val="auto"/>
        </w:rPr>
        <w:t>7.</w:t>
      </w:r>
      <w:r>
        <w:rPr>
          <w:rFonts w:hint="eastAsia"/>
          <w:b/>
          <w:color w:val="auto"/>
        </w:rPr>
        <w:t>5</w:t>
      </w:r>
      <w:r>
        <w:rPr>
          <w:b/>
          <w:color w:val="auto"/>
        </w:rPr>
        <w:t>.</w:t>
      </w:r>
      <w:r>
        <w:rPr>
          <w:rFonts w:hint="eastAsia"/>
          <w:b/>
          <w:color w:val="auto"/>
        </w:rPr>
        <w:t>5</w:t>
      </w:r>
      <w:r>
        <w:rPr>
          <w:color w:val="auto"/>
        </w:rPr>
        <w:t>优先喷射钢架背后的空隙，喷嘴侧朝向钢架进行喷射，喷射饱满后在进行其他部位喷射，此目的是为了防止钢架背后空洞的产生。若受喷面被钢筋网覆盖时，喷头应靠近受喷面，使钢筋后面能湿喷的更加密实，防止钢筋后漏喷。</w:t>
      </w:r>
    </w:p>
    <w:p>
      <w:pPr>
        <w:rPr>
          <w:color w:val="auto"/>
        </w:rPr>
      </w:pPr>
      <w:r>
        <w:rPr>
          <w:b/>
          <w:color w:val="auto"/>
        </w:rPr>
        <w:t>7.</w:t>
      </w:r>
      <w:r>
        <w:rPr>
          <w:rFonts w:hint="eastAsia"/>
          <w:b/>
          <w:color w:val="auto"/>
        </w:rPr>
        <w:t>5</w:t>
      </w:r>
      <w:r>
        <w:rPr>
          <w:b/>
          <w:color w:val="auto"/>
        </w:rPr>
        <w:t>.</w:t>
      </w:r>
      <w:r>
        <w:rPr>
          <w:rFonts w:hint="eastAsia"/>
          <w:b/>
          <w:color w:val="auto"/>
        </w:rPr>
        <w:t>6</w:t>
      </w:r>
      <w:r>
        <w:rPr>
          <w:color w:val="auto"/>
        </w:rPr>
        <w:t>喷头运动方式喷头尽量做匀速螺旋状圆周移动，并保证其环形圈横向40～60cm，高30～40cm，后一圈压前一圈三分之一，湿喷路线应自</w:t>
      </w:r>
      <w:r>
        <w:rPr>
          <w:rFonts w:hint="eastAsia"/>
          <w:color w:val="auto"/>
        </w:rPr>
        <w:t>下</w:t>
      </w:r>
      <w:r>
        <w:rPr>
          <w:color w:val="auto"/>
        </w:rPr>
        <w:t>而</w:t>
      </w:r>
      <w:r>
        <w:rPr>
          <w:rFonts w:hint="eastAsia"/>
          <w:color w:val="auto"/>
        </w:rPr>
        <w:t>上</w:t>
      </w:r>
      <w:r>
        <w:rPr>
          <w:color w:val="auto"/>
        </w:rPr>
        <w:t>运行，</w:t>
      </w:r>
      <w:r>
        <w:rPr>
          <w:rFonts w:hint="eastAsia"/>
          <w:color w:val="auto"/>
        </w:rPr>
        <w:t>湿</w:t>
      </w:r>
      <w:r>
        <w:rPr>
          <w:color w:val="auto"/>
        </w:rPr>
        <w:t>喷混凝土应先边墙、后拱部，能保证喷层厚度均匀，并减少回弹。螺旋线喷射时，喷层与喷层之间的时间间隔大致相同，在该时间间隔中速凝剂与水泥迅速发生变化，使混凝土的屈服应力增大、流动性降低，混凝土料群在喷射到喷层上时较好的嵌固在喷层中。</w:t>
      </w:r>
    </w:p>
    <w:p>
      <w:pPr>
        <w:ind w:firstLine="480" w:firstLineChars="200"/>
        <w:rPr>
          <w:color w:val="auto"/>
        </w:rPr>
      </w:pPr>
      <w:r>
        <w:rPr>
          <w:color w:val="auto"/>
        </w:rPr>
        <w:t>喷头与受喷面的垂线夹角应在0～20°之间，若喷射角度过大，会形成混凝土</w:t>
      </w:r>
      <w:r>
        <w:rPr>
          <w:rFonts w:hint="eastAsia"/>
          <w:color w:val="auto"/>
        </w:rPr>
        <w:t>料</w:t>
      </w:r>
      <w:r>
        <w:rPr>
          <w:color w:val="auto"/>
        </w:rPr>
        <w:t>在工作面上的滚动，导致喷层不均匀，并增加了回弹率，材料浪费严重。</w:t>
      </w:r>
    </w:p>
    <w:p>
      <w:pPr>
        <w:rPr>
          <w:color w:val="auto"/>
        </w:rPr>
      </w:pPr>
      <w:r>
        <w:rPr>
          <w:b/>
          <w:color w:val="auto"/>
        </w:rPr>
        <w:t>7.</w:t>
      </w:r>
      <w:r>
        <w:rPr>
          <w:rFonts w:hint="eastAsia"/>
          <w:b/>
          <w:color w:val="auto"/>
        </w:rPr>
        <w:t>6</w:t>
      </w:r>
      <w:r>
        <w:rPr>
          <w:b/>
          <w:color w:val="auto"/>
        </w:rPr>
        <w:t>.1</w:t>
      </w:r>
      <w:r>
        <w:rPr>
          <w:color w:val="auto"/>
        </w:rPr>
        <w:t xml:space="preserve">  环境温度过高时，现场施工人员应严格控制混凝土要料时间，防止混凝土在隧道内等候时间过长导致混凝土结块。在罐车运输混凝土或停留过程中，应保持罐车正常转动；环境温度过低会导致混凝土硬化缓慢，无法满足混凝土强度要求，达不到及时封闭围岩的效果。</w:t>
      </w:r>
    </w:p>
    <w:p>
      <w:pPr>
        <w:rPr>
          <w:color w:val="auto"/>
        </w:rPr>
      </w:pPr>
      <w:r>
        <w:rPr>
          <w:b/>
          <w:color w:val="auto"/>
        </w:rPr>
        <w:t>7.</w:t>
      </w:r>
      <w:r>
        <w:rPr>
          <w:rFonts w:hint="eastAsia"/>
          <w:b/>
          <w:color w:val="auto"/>
        </w:rPr>
        <w:t>6</w:t>
      </w:r>
      <w:r>
        <w:rPr>
          <w:b/>
          <w:color w:val="auto"/>
        </w:rPr>
        <w:t xml:space="preserve">.2 </w:t>
      </w:r>
      <w:r>
        <w:rPr>
          <w:color w:val="auto"/>
        </w:rPr>
        <w:t>《喷射混凝土应用技术规程》JGJT372-2016中规定，工作风压应稳定，不宜小于0.6MPa，其波动值不应大于0.01MPa。</w:t>
      </w:r>
    </w:p>
    <w:p>
      <w:pPr>
        <w:rPr>
          <w:color w:val="auto"/>
        </w:rPr>
      </w:pPr>
      <w:r>
        <w:rPr>
          <w:b/>
          <w:color w:val="auto"/>
        </w:rPr>
        <w:t>7.</w:t>
      </w:r>
      <w:r>
        <w:rPr>
          <w:rFonts w:hint="eastAsia"/>
          <w:b/>
          <w:color w:val="auto"/>
        </w:rPr>
        <w:t>6</w:t>
      </w:r>
      <w:r>
        <w:rPr>
          <w:b/>
          <w:color w:val="auto"/>
        </w:rPr>
        <w:t xml:space="preserve">.4  </w:t>
      </w:r>
      <w:r>
        <w:rPr>
          <w:color w:val="auto"/>
        </w:rPr>
        <w:t>喷射混凝土回弹料已经掺入速凝剂并混入其他杂物，重复使用会导致混凝土各种性能的变化，故严禁重复使用。</w:t>
      </w:r>
    </w:p>
    <w:p>
      <w:pPr>
        <w:rPr>
          <w:color w:val="auto"/>
        </w:rPr>
      </w:pPr>
      <w:r>
        <w:rPr>
          <w:b/>
          <w:color w:val="auto"/>
        </w:rPr>
        <w:t>7.</w:t>
      </w:r>
      <w:r>
        <w:rPr>
          <w:rFonts w:hint="eastAsia"/>
          <w:b/>
          <w:color w:val="auto"/>
        </w:rPr>
        <w:t>6</w:t>
      </w:r>
      <w:r>
        <w:rPr>
          <w:b/>
          <w:color w:val="auto"/>
        </w:rPr>
        <w:t>.</w:t>
      </w:r>
      <w:r>
        <w:rPr>
          <w:rFonts w:hint="eastAsia"/>
          <w:b/>
          <w:color w:val="auto"/>
        </w:rPr>
        <w:t>8</w:t>
      </w:r>
      <w:r>
        <w:rPr>
          <w:color w:val="auto"/>
        </w:rPr>
        <w:t>在有水地段喷射混凝土采取如下措施。</w:t>
      </w:r>
    </w:p>
    <w:p>
      <w:pPr>
        <w:ind w:firstLine="482" w:firstLineChars="200"/>
        <w:rPr>
          <w:color w:val="auto"/>
        </w:rPr>
      </w:pPr>
      <w:r>
        <w:rPr>
          <w:b/>
          <w:color w:val="auto"/>
        </w:rPr>
        <w:t>1</w:t>
      </w:r>
      <w:r>
        <w:rPr>
          <w:color w:val="auto"/>
        </w:rPr>
        <w:t xml:space="preserve"> 当水点不多时，可设导管引排水后再喷射混凝土。</w:t>
      </w:r>
    </w:p>
    <w:p>
      <w:pPr>
        <w:ind w:firstLine="482" w:firstLineChars="200"/>
        <w:rPr>
          <w:color w:val="auto"/>
        </w:rPr>
      </w:pPr>
      <w:r>
        <w:rPr>
          <w:b/>
          <w:color w:val="auto"/>
        </w:rPr>
        <w:t>2</w:t>
      </w:r>
      <w:r>
        <w:rPr>
          <w:color w:val="auto"/>
        </w:rPr>
        <w:t xml:space="preserve"> 当涌水量范围较大时，可设树枝状导管后再喷混凝土。</w:t>
      </w:r>
    </w:p>
    <w:p>
      <w:pPr>
        <w:ind w:firstLine="482" w:firstLineChars="200"/>
        <w:rPr>
          <w:color w:val="auto"/>
        </w:rPr>
      </w:pPr>
      <w:r>
        <w:rPr>
          <w:b/>
          <w:color w:val="auto"/>
        </w:rPr>
        <w:t>3</w:t>
      </w:r>
      <w:r>
        <w:rPr>
          <w:color w:val="auto"/>
        </w:rPr>
        <w:t xml:space="preserve"> 当涌水严重时可设置泄水孔，边排水边喷混凝土。</w:t>
      </w:r>
    </w:p>
    <w:p>
      <w:pPr>
        <w:ind w:firstLine="480" w:firstLineChars="200"/>
        <w:rPr>
          <w:color w:val="auto"/>
        </w:rPr>
      </w:pPr>
      <w:r>
        <w:rPr>
          <w:color w:val="auto"/>
        </w:rPr>
        <w:t>当岩面普遍渗水时，可先喷砂浆，并加大速凝剂掺量，保证初喷后，再按原配比施工。当局部出水量较大时采用埋管、凿槽，树枝状排水盲沟措施，将水引导疏出后，再喷混凝土。</w:t>
      </w:r>
    </w:p>
    <w:p>
      <w:pPr>
        <w:ind w:firstLine="480" w:firstLineChars="200"/>
        <w:rPr>
          <w:color w:val="auto"/>
        </w:rPr>
      </w:pPr>
      <w:r>
        <w:rPr>
          <w:color w:val="auto"/>
        </w:rPr>
        <w:t>在设有盲管的区段，必须正对盲管湿喷，使盲管后面行程透水空隙，随着角隅被填满成一个曲面后，再向两侧壁面逐渐延伸，然后，按与壁面成90°的角度进行喷射，对外部角隅，可将喷嘴垂直地先对准一个受喷面喷射，然后再喷射角隅的另一侧。</w:t>
      </w:r>
    </w:p>
    <w:p>
      <w:pPr>
        <w:rPr>
          <w:color w:val="auto"/>
        </w:rPr>
      </w:pPr>
      <w:r>
        <w:rPr>
          <w:b/>
          <w:color w:val="auto"/>
        </w:rPr>
        <w:t>7.</w:t>
      </w:r>
      <w:r>
        <w:rPr>
          <w:rFonts w:hint="eastAsia"/>
          <w:b/>
          <w:color w:val="auto"/>
        </w:rPr>
        <w:t>6</w:t>
      </w:r>
      <w:r>
        <w:rPr>
          <w:b/>
          <w:color w:val="auto"/>
        </w:rPr>
        <w:t>.</w:t>
      </w:r>
      <w:r>
        <w:rPr>
          <w:rFonts w:hint="eastAsia"/>
          <w:b/>
          <w:color w:val="auto"/>
        </w:rPr>
        <w:t>9</w:t>
      </w:r>
      <w:r>
        <w:rPr>
          <w:color w:val="auto"/>
        </w:rPr>
        <w:t>钢纤维如果外露于空气中，易使钢纤维腐蚀，降低混凝土的耐久性，且对防水层的一定的破坏，同时增加了操作工人的受伤机率，所以需要用普通喷射混凝土覆盖作为保护层。</w:t>
      </w:r>
    </w:p>
    <w:p>
      <w:pPr>
        <w:rPr>
          <w:color w:val="auto"/>
        </w:rPr>
      </w:pPr>
      <w:r>
        <w:rPr>
          <w:b/>
          <w:color w:val="auto"/>
        </w:rPr>
        <w:t>7.</w:t>
      </w:r>
      <w:r>
        <w:rPr>
          <w:rFonts w:hint="eastAsia"/>
          <w:b/>
          <w:color w:val="auto"/>
        </w:rPr>
        <w:t>6</w:t>
      </w:r>
      <w:r>
        <w:rPr>
          <w:b/>
          <w:color w:val="auto"/>
        </w:rPr>
        <w:t>.</w:t>
      </w:r>
      <w:r>
        <w:rPr>
          <w:rFonts w:hint="eastAsia"/>
          <w:b/>
          <w:color w:val="auto"/>
        </w:rPr>
        <w:t>10</w:t>
      </w:r>
      <w:r>
        <w:rPr>
          <w:color w:val="auto"/>
        </w:rPr>
        <w:t>工程实践表明，喷射混凝土终凝3h后，紧靠混凝土的工作面进行爆破时，混凝土的粘结力及其与壁面的粘结力足以抵抗爆破力对已喷混凝土区域范围内的震动，而不会导致混凝土离鼓、开裂或脱落。</w:t>
      </w:r>
    </w:p>
    <w:p>
      <w:pPr>
        <w:rPr>
          <w:color w:val="auto"/>
        </w:rPr>
      </w:pPr>
      <w:r>
        <w:rPr>
          <w:b/>
          <w:color w:val="auto"/>
        </w:rPr>
        <w:t xml:space="preserve">8.1.1  </w:t>
      </w:r>
      <w:r>
        <w:rPr>
          <w:color w:val="auto"/>
        </w:rPr>
        <w:t>三级配电二级保护是指在总配电箱下设分配电箱，分配电箱下设开关箱，并在总配电箱及分配箱电箱内设漏电保护器，隧道施工场地复杂、设备众多且隧道内环境多潮湿，所以隧道内施工用电需配绝缘导线。</w:t>
      </w:r>
    </w:p>
    <w:p>
      <w:pPr>
        <w:rPr>
          <w:color w:val="auto"/>
        </w:rPr>
      </w:pPr>
      <w:r>
        <w:rPr>
          <w:b/>
          <w:color w:val="auto"/>
        </w:rPr>
        <w:t xml:space="preserve">8.1.2  </w:t>
      </w:r>
      <w:r>
        <w:rPr>
          <w:color w:val="auto"/>
        </w:rPr>
        <w:t>工作面的照明对施工安全非常重要，采用普通光源照明时，其照度应不小于30Lx，不安全因素较大地段应加大光照度。保证通风则主要是为了工人职业健康，增加工作面新鲜空气，稀释有毒有害气体及粉尘。</w:t>
      </w:r>
    </w:p>
    <w:p>
      <w:pPr>
        <w:rPr>
          <w:color w:val="auto"/>
        </w:rPr>
      </w:pPr>
      <w:r>
        <w:rPr>
          <w:b/>
          <w:color w:val="auto"/>
        </w:rPr>
        <w:t xml:space="preserve">8.1.3  </w:t>
      </w:r>
      <w:r>
        <w:rPr>
          <w:color w:val="auto"/>
        </w:rPr>
        <w:t>瓦斯隧道可分为低瓦斯隧道、高瓦斯隧道和瓦斯突出隧道三种类型，根据不同类型编制专项施工方案，在施工机械、施工用电和施工方法上区别对待。低瓦斯工区任意瓦斯浓度超过0.5%时，应加强通风检测。当瓦斯浓度达到1.5%时，必须停止一切作业，撤出工作人员，切断电源，采取措施进行处理。</w:t>
      </w:r>
    </w:p>
    <w:p>
      <w:pPr>
        <w:rPr>
          <w:color w:val="auto"/>
        </w:rPr>
      </w:pPr>
      <w:r>
        <w:rPr>
          <w:b/>
          <w:color w:val="auto"/>
        </w:rPr>
        <w:t xml:space="preserve">8.1.4  </w:t>
      </w:r>
      <w:r>
        <w:rPr>
          <w:color w:val="auto"/>
        </w:rPr>
        <w:t>喷射混凝土紧接开挖工作，隧道边墙以上及开挖面松动的危石需处理后方能保证后续工作的安全，防止碎石掉落造成人员及机械伤害，洞门边坡开挖后亦存在类似隐患，故做相应规定。</w:t>
      </w:r>
    </w:p>
    <w:p>
      <w:pPr>
        <w:rPr>
          <w:color w:val="auto"/>
        </w:rPr>
      </w:pPr>
      <w:r>
        <w:rPr>
          <w:b/>
          <w:color w:val="auto"/>
        </w:rPr>
        <w:t xml:space="preserve">8.1.7  </w:t>
      </w:r>
      <w:r>
        <w:rPr>
          <w:color w:val="auto"/>
        </w:rPr>
        <w:t>钢纤维喷射混凝土施工中所用的钢纤维是直径为0.3 mm～0.8mm的金属丝，其两端为针状较锋利，容易扎伤人，因此凡是可能与钢纤维及钢纤维混凝土接触的操作都应采取防护措施。</w:t>
      </w:r>
    </w:p>
    <w:p>
      <w:pPr>
        <w:rPr>
          <w:color w:val="auto"/>
        </w:rPr>
      </w:pPr>
      <w:r>
        <w:rPr>
          <w:b/>
          <w:color w:val="auto"/>
        </w:rPr>
        <w:t xml:space="preserve">8.1.10  </w:t>
      </w:r>
      <w:r>
        <w:rPr>
          <w:color w:val="auto"/>
        </w:rPr>
        <w:t>支护体系变形、开裂等险情的发现途径包括监控量测数据分析和现场观察。</w:t>
      </w:r>
    </w:p>
    <w:p>
      <w:pPr>
        <w:rPr>
          <w:color w:val="auto"/>
        </w:rPr>
      </w:pPr>
      <w:r>
        <w:rPr>
          <w:b/>
          <w:color w:val="auto"/>
        </w:rPr>
        <w:t xml:space="preserve">8.2.3  </w:t>
      </w:r>
      <w:r>
        <w:rPr>
          <w:color w:val="auto"/>
        </w:rPr>
        <w:t>有利于环境及职业健康的新材料如无碱速凝剂，利于降尘的新技术如水压爆破技术、水雾帘幕降尘技术，新设备如集尘机，利于降低噪音的消声器和消声箱等。</w:t>
      </w:r>
    </w:p>
    <w:p>
      <w:pPr>
        <w:rPr>
          <w:color w:val="auto"/>
        </w:rPr>
      </w:pPr>
      <w:r>
        <w:rPr>
          <w:b/>
          <w:color w:val="auto"/>
        </w:rPr>
        <w:t xml:space="preserve">8.2.4  </w:t>
      </w:r>
      <w:r>
        <w:rPr>
          <w:color w:val="auto"/>
        </w:rPr>
        <w:t>国家规定隧道内空气中氧气含量，按体积计不得小于20%。每立方米空气中粉尘容许浓度：含有10%以上游离二氧化硅的粉尘不得大于2mg；含有10%以下游离二氧化硅的矿物性粉尘不得大于4mg。有害气体含量：空气中一氧化碳的容许浓度不得大于30mg/m3；二氧化碳按体积计不得大于0.5%；氮氧化物浓度在5mg/m3以下；硫化氢浓度不得大于10mg/m3。隧道内气温不得高于28</w:t>
      </w:r>
      <w:r>
        <w:rPr>
          <w:rFonts w:hint="eastAsia" w:ascii="宋体" w:hAnsi="宋体" w:cs="宋体"/>
          <w:color w:val="auto"/>
        </w:rPr>
        <w:t>℃</w:t>
      </w:r>
      <w:r>
        <w:rPr>
          <w:color w:val="auto"/>
        </w:rPr>
        <w:t>。隧道内噪音不得大于90dB。</w:t>
      </w:r>
    </w:p>
    <w:p>
      <w:pPr>
        <w:rPr>
          <w:color w:val="auto"/>
        </w:rPr>
      </w:pPr>
      <w:r>
        <w:rPr>
          <w:b/>
          <w:color w:val="auto"/>
        </w:rPr>
        <w:t xml:space="preserve">8.2.5  </w:t>
      </w:r>
      <w:r>
        <w:rPr>
          <w:color w:val="auto"/>
        </w:rPr>
        <w:t>该条内容参见《高速铁路隧道工程施工技术工程》Q/CR 9604-2015第18.1.6。</w:t>
      </w:r>
    </w:p>
    <w:p>
      <w:pPr>
        <w:rPr>
          <w:rFonts w:eastAsiaTheme="minorEastAsia"/>
          <w:color w:val="auto"/>
        </w:rPr>
      </w:pPr>
      <w:r>
        <w:rPr>
          <w:b/>
          <w:color w:val="auto"/>
        </w:rPr>
        <w:t xml:space="preserve">8.3.1～8.3.2  </w:t>
      </w:r>
      <w:r>
        <w:rPr>
          <w:rFonts w:eastAsiaTheme="minorEastAsia"/>
          <w:color w:val="auto"/>
        </w:rPr>
        <w:t>喷射混凝土的和易性，特别是粘聚性对减少混凝土的回弹起重要作用，加入聚丙烯酰胺等增粘剂使混凝土粘聚性增加，可有效降低回弹率，另外在混凝土中掺入一定量的外掺料有助于改善混凝土的和易性，减少回弹，掺合料的粒径越小，效果越好。</w:t>
      </w:r>
    </w:p>
    <w:p>
      <w:pPr>
        <w:rPr>
          <w:color w:val="auto"/>
        </w:rPr>
      </w:pPr>
      <w:r>
        <w:rPr>
          <w:b/>
          <w:color w:val="auto"/>
        </w:rPr>
        <w:t xml:space="preserve">8.3.3  </w:t>
      </w:r>
      <w:r>
        <w:rPr>
          <w:rFonts w:eastAsiaTheme="minorEastAsia"/>
          <w:color w:val="auto"/>
        </w:rPr>
        <w:t>从喷嘴中喷出的混凝土以适当冲击速度，与壁面成直角喷射时，压密性最好。喷射成斜角时，会损伤已喷射的混凝土部分，回弹和剥离也多。喷射距离应根据混凝土的冲击速度和附着性进行灵活调整。</w:t>
      </w:r>
    </w:p>
    <w:p>
      <w:pPr>
        <w:rPr>
          <w:color w:val="auto"/>
        </w:rPr>
      </w:pPr>
      <w:r>
        <w:rPr>
          <w:b/>
          <w:color w:val="auto"/>
        </w:rPr>
        <w:t xml:space="preserve">9.1.1  </w:t>
      </w:r>
      <w:r>
        <w:rPr>
          <w:color w:val="auto"/>
        </w:rPr>
        <w:t>喷射混凝土工程质量控制资料包含：材料的质量合格证明书及进场后复验报告，喷射混凝土性能、厚度及无损检测成果报告，施工记录，隐蔽工程验收记录等其他必要的文</w:t>
      </w:r>
      <w:r>
        <w:rPr>
          <w:rFonts w:hint="eastAsia"/>
          <w:color w:val="auto"/>
        </w:rPr>
        <w:t>字</w:t>
      </w:r>
      <w:r>
        <w:rPr>
          <w:color w:val="auto"/>
        </w:rPr>
        <w:t>记录。</w:t>
      </w:r>
    </w:p>
    <w:p>
      <w:pPr>
        <w:rPr>
          <w:color w:val="auto"/>
        </w:rPr>
      </w:pPr>
      <w:r>
        <w:rPr>
          <w:b/>
          <w:color w:val="auto"/>
        </w:rPr>
        <w:t>9.1.4</w:t>
      </w:r>
      <w:r>
        <w:rPr>
          <w:color w:val="auto"/>
        </w:rPr>
        <w:t xml:space="preserve">  隧道施工中常见的支护质量问题如衬砌厚度不足、衬砌与围岩间存在脱空、不密实等现象；传统的开孔或开槽检测效率低、代表性差、偶然性大，且破坏结构整体性。无损检测如地质雷达类，有着经济快速，抗干扰能力强，并实时成像的方式显示探测结果，其具备精度高、样点密集代表性强等特点。</w:t>
      </w:r>
    </w:p>
    <w:p>
      <w:pPr>
        <w:snapToGrid w:val="0"/>
        <w:ind w:firstLine="480" w:firstLineChars="200"/>
        <w:rPr>
          <w:color w:val="auto"/>
        </w:rPr>
      </w:pPr>
      <w:r>
        <w:rPr>
          <w:color w:val="auto"/>
        </w:rPr>
        <w:t>喷射混凝土的厚度应符合设计要求，是基于隧道开挖过程中可能存在局部少量超欠挖，《高速铁路隧道工程施工质量验收评定》6.3.2条中，个别石质坚硬岩石侵入衬砌应小于5cm，顺延侵入初支喷射混凝土不大于5cm进行控制的百分比。</w:t>
      </w:r>
    </w:p>
    <w:p>
      <w:pPr>
        <w:snapToGrid w:val="0"/>
        <w:rPr>
          <w:color w:val="auto"/>
        </w:rPr>
      </w:pPr>
      <w:r>
        <w:rPr>
          <w:b/>
          <w:color w:val="auto"/>
        </w:rPr>
        <w:t xml:space="preserve">9.3.5  </w:t>
      </w:r>
      <w:r>
        <w:rPr>
          <w:color w:val="auto"/>
        </w:rPr>
        <w:t>在岩土体中开挖的隧道，开挖后即会发生变形，尤其是在土层和软弱的岩体中开挖，开挖初期的变形是十分显著。因此，为了保证喷射混凝土支护在开挖早期控制围岩或土体变形的能力，需在施工前进行喷射混凝土工艺性试验，确认喷射混凝土1d强度。</w:t>
      </w:r>
    </w:p>
    <w:p>
      <w:pPr>
        <w:snapToGrid w:val="0"/>
        <w:rPr>
          <w:color w:val="auto"/>
        </w:rPr>
      </w:pPr>
      <w:r>
        <w:rPr>
          <w:b/>
          <w:color w:val="auto"/>
        </w:rPr>
        <w:t xml:space="preserve">9.3.7 </w:t>
      </w:r>
      <w:r>
        <w:rPr>
          <w:color w:val="auto"/>
        </w:rPr>
        <w:t xml:space="preserve"> 喷射混凝土的强度试件，考虑到目前隧道施工工艺较快，《高速铁路隧道工程施工质量验收评定》检验批按≤24m进行检查。台阶法施工时采取每20m分拱部、边墙、仰拱各留置1组（共3组）抗压强度试件；全断</w:t>
      </w:r>
      <w:r>
        <w:rPr>
          <w:rFonts w:hint="eastAsia"/>
          <w:color w:val="auto"/>
        </w:rPr>
        <w:t>面法</w:t>
      </w:r>
      <w:r>
        <w:rPr>
          <w:color w:val="auto"/>
        </w:rPr>
        <w:t>施工时，按每20m开挖断落留置1组抗压强度试件；全断面不带仰拱施工时，按每20m开挖断落留置拱墙、仰拱各留置1组（共2组）抗压强度试件。</w:t>
      </w:r>
    </w:p>
    <w:p>
      <w:pPr>
        <w:snapToGrid w:val="0"/>
        <w:rPr>
          <w:color w:val="auto"/>
        </w:rPr>
      </w:pPr>
      <w:r>
        <w:rPr>
          <w:b/>
          <w:color w:val="auto"/>
        </w:rPr>
        <w:t xml:space="preserve">9.3.8 </w:t>
      </w:r>
      <w:r>
        <w:rPr>
          <w:color w:val="auto"/>
        </w:rPr>
        <w:t xml:space="preserve"> 对隧道洞内喷射混凝土样本的</w:t>
      </w:r>
      <w:r>
        <w:rPr>
          <w:rFonts w:hint="eastAsia"/>
          <w:color w:val="auto"/>
        </w:rPr>
        <w:t>钢架间距、</w:t>
      </w:r>
      <w:r>
        <w:rPr>
          <w:color w:val="auto"/>
        </w:rPr>
        <w:t>密实</w:t>
      </w:r>
      <w:r>
        <w:rPr>
          <w:rFonts w:hint="eastAsia"/>
          <w:color w:val="auto"/>
        </w:rPr>
        <w:t>性等</w:t>
      </w:r>
      <w:r>
        <w:rPr>
          <w:color w:val="auto"/>
        </w:rPr>
        <w:t>检测应具有代表性，特划定检测线。</w:t>
      </w:r>
    </w:p>
    <w:p>
      <w:pPr>
        <w:snapToGrid w:val="0"/>
        <w:ind w:firstLine="480" w:firstLineChars="200"/>
        <w:rPr>
          <w:color w:val="auto"/>
        </w:rPr>
      </w:pPr>
      <w:r>
        <w:rPr>
          <w:color w:val="auto"/>
        </w:rPr>
        <w:t>当采用雷达检测时，双线隧道按拱顶一条、左右拱腰各一条、左右边墙各一条、仰拱2条，共7线进行扫描检测，单线隧道按拱顶一条、左右拱腰各一条、左右边墙各一条、仰拱一条，共6线进行扫描检测。具体布置见图9.3.3。</w:t>
      </w:r>
    </w:p>
    <w:p>
      <w:pPr>
        <w:snapToGrid w:val="0"/>
        <w:ind w:firstLine="480" w:firstLineChars="200"/>
        <w:rPr>
          <w:color w:val="auto"/>
        </w:rPr>
      </w:pPr>
      <w:r>
        <w:rPr>
          <w:color w:val="auto"/>
        </w:rPr>
        <w:drawing>
          <wp:inline distT="0" distB="0" distL="0" distR="0">
            <wp:extent cx="5010150" cy="4010025"/>
            <wp:effectExtent l="0" t="0" r="0" b="952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65">
                      <a:extLst>
                        <a:ext uri="{28A0092B-C50C-407E-A947-70E740481C1C}">
                          <a14:useLocalDpi xmlns:a14="http://schemas.microsoft.com/office/drawing/2010/main" val="0"/>
                        </a:ext>
                      </a:extLst>
                    </a:blip>
                    <a:srcRect l="13113" t="8911" r="40808" b="25740"/>
                    <a:stretch>
                      <a:fillRect/>
                    </a:stretch>
                  </pic:blipFill>
                  <pic:spPr>
                    <a:xfrm>
                      <a:off x="0" y="0"/>
                      <a:ext cx="5010150" cy="4010025"/>
                    </a:xfrm>
                    <a:prstGeom prst="rect">
                      <a:avLst/>
                    </a:prstGeom>
                    <a:noFill/>
                    <a:ln>
                      <a:noFill/>
                    </a:ln>
                  </pic:spPr>
                </pic:pic>
              </a:graphicData>
            </a:graphic>
          </wp:inline>
        </w:drawing>
      </w:r>
    </w:p>
    <w:p>
      <w:pPr>
        <w:spacing w:line="400" w:lineRule="exact"/>
        <w:jc w:val="center"/>
        <w:rPr>
          <w:rFonts w:ascii="黑体" w:hAnsi="黑体" w:eastAsia="黑体"/>
          <w:color w:val="auto"/>
          <w:szCs w:val="21"/>
        </w:rPr>
      </w:pPr>
      <w:r>
        <w:rPr>
          <w:rFonts w:ascii="黑体" w:hAnsi="黑体" w:eastAsia="黑体"/>
          <w:color w:val="auto"/>
          <w:szCs w:val="21"/>
        </w:rPr>
        <w:t>图9.3.3  雷达无损检测示意图</w:t>
      </w:r>
    </w:p>
    <w:p>
      <w:pPr>
        <w:snapToGrid w:val="0"/>
        <w:rPr>
          <w:color w:val="auto"/>
        </w:rPr>
      </w:pPr>
      <w:r>
        <w:rPr>
          <w:b/>
          <w:color w:val="auto"/>
        </w:rPr>
        <w:t xml:space="preserve">F.0.2  </w:t>
      </w:r>
      <w:r>
        <w:rPr>
          <w:color w:val="auto"/>
          <w:spacing w:val="2"/>
        </w:rPr>
        <w:t>射钉仪由主机、加力杆、深度测量尺、测钉座螺母旋紧扳手、</w:t>
      </w:r>
      <w:r>
        <w:rPr>
          <w:color w:val="auto"/>
        </w:rPr>
        <w:t xml:space="preserve"> 测钉量规及附件等组成。</w:t>
      </w:r>
    </w:p>
    <w:p>
      <w:pPr>
        <w:pStyle w:val="18"/>
        <w:spacing w:after="0"/>
        <w:rPr>
          <w:color w:val="auto"/>
          <w:szCs w:val="24"/>
        </w:rPr>
      </w:pPr>
      <w:r>
        <w:rPr>
          <w:b/>
          <w:color w:val="auto"/>
          <w:szCs w:val="24"/>
        </w:rPr>
        <w:t xml:space="preserve">F.0.3  </w:t>
      </w:r>
      <w:r>
        <w:rPr>
          <w:color w:val="auto"/>
          <w:spacing w:val="2"/>
          <w:szCs w:val="24"/>
        </w:rPr>
        <w:t>使用射钉法混凝土强度检测时，除本条所列注意事项外，使用者应佩戴护目镜和其他防护设备，注意避免非预期和意外的测</w:t>
      </w:r>
      <w:r>
        <w:rPr>
          <w:color w:val="auto"/>
          <w:szCs w:val="24"/>
        </w:rPr>
        <w:t>钉发射。</w:t>
      </w:r>
      <w:r>
        <w:rPr>
          <w:color w:val="auto"/>
          <w:spacing w:val="2"/>
          <w:szCs w:val="24"/>
        </w:rPr>
        <w:t>射钉仪严禁指向人员及设备。</w:t>
      </w:r>
    </w:p>
    <w:p>
      <w:pPr>
        <w:snapToGrid w:val="0"/>
        <w:rPr>
          <w:color w:val="auto"/>
        </w:rPr>
      </w:pPr>
      <w:r>
        <w:rPr>
          <w:b/>
          <w:color w:val="auto"/>
        </w:rPr>
        <w:t xml:space="preserve">F.0.4  </w:t>
      </w:r>
      <w:r>
        <w:rPr>
          <w:color w:val="auto"/>
        </w:rPr>
        <w:t>本条对测试结果异常值的取舍进行了规定。 隧道喷射混凝土施工较为复杂，地质条件的差异，钢筋及预埋件</w:t>
      </w:r>
      <w:r>
        <w:rPr>
          <w:color w:val="auto"/>
          <w:spacing w:val="2"/>
        </w:rPr>
        <w:t>较多，而且混凝土靠空气压力喷射到岩面上，难免产生孔洞或蜂窝现象，混凝土达不到理想的密实程度，导致检测数据离散性较大，规定测钉射入到钢筋或预埋件上、集料、蜂窝或孔隙内时得到的异常值舍</w:t>
      </w:r>
      <w:r>
        <w:rPr>
          <w:color w:val="auto"/>
        </w:rPr>
        <w:t>弃。</w:t>
      </w:r>
    </w:p>
    <w:p>
      <w:pPr>
        <w:snapToGrid w:val="0"/>
        <w:ind w:firstLine="488" w:firstLineChars="200"/>
        <w:rPr>
          <w:color w:val="auto"/>
          <w:spacing w:val="-10"/>
        </w:rPr>
      </w:pPr>
      <w:r>
        <w:rPr>
          <w:color w:val="auto"/>
          <w:spacing w:val="2"/>
        </w:rPr>
        <w:t>按照目前射钉法混凝土强度检测仪说明书推荐公式计算结构混凝土强度时，强度推定值明显高于同条件养</w:t>
      </w:r>
      <w:r>
        <w:rPr>
          <w:color w:val="auto"/>
        </w:rPr>
        <w:t xml:space="preserve">护标准试件抗压强度，最大差值为3.8MPa，偏差为标准试件强度值的 </w:t>
      </w:r>
      <w:r>
        <w:rPr>
          <w:color w:val="auto"/>
          <w:spacing w:val="-3"/>
        </w:rPr>
        <w:t>27.9%。同时射钉法的测试结果受混凝土原材料、配合比和模板种类等</w:t>
      </w:r>
      <w:r>
        <w:rPr>
          <w:color w:val="auto"/>
          <w:spacing w:val="2"/>
        </w:rPr>
        <w:t>影响较大，故在现场测试前，应建立专用测强曲线。如本单位不具备建立专用测强曲线条件时，且采用射钉仪基本参数与编写组所用基本相同时，可参照编写组根据试验数据建立的测强曲线进行强度推定值</w:t>
      </w:r>
      <w:r>
        <w:rPr>
          <w:color w:val="auto"/>
          <w:spacing w:val="3"/>
        </w:rPr>
        <w:t xml:space="preserve">的计算。编写组进行试验所用射钉仪的测钉直径 </w:t>
      </w:r>
      <w:r>
        <w:rPr>
          <w:color w:val="auto"/>
        </w:rPr>
        <w:t>3.10mm，测钉长度</w:t>
      </w:r>
      <w:r>
        <w:rPr>
          <w:color w:val="auto"/>
          <w:spacing w:val="-12"/>
        </w:rPr>
        <w:t>35.0mm，测钉钉尖长度</w:t>
      </w:r>
      <w:r>
        <w:rPr>
          <w:color w:val="auto"/>
          <w:spacing w:val="-10"/>
        </w:rPr>
        <w:t>5.0mm。</w:t>
      </w:r>
    </w:p>
    <w:p>
      <w:pPr>
        <w:snapToGrid w:val="0"/>
        <w:ind w:firstLine="480" w:firstLineChars="200"/>
        <w:rPr>
          <w:color w:val="auto"/>
          <w:vertAlign w:val="subscript"/>
        </w:rPr>
      </w:pPr>
      <m:oMathPara>
        <m:oMath>
          <m:sSubSup>
            <m:sSubSupPr>
              <m:ctrlPr>
                <w:rPr>
                  <w:rFonts w:ascii="Cambria Math" w:hAnsi="Cambria Math"/>
                  <w:color w:val="auto"/>
                  <w:vertAlign w:val="subscript"/>
                </w:rPr>
              </m:ctrlPr>
            </m:sSubSupPr>
            <m:e>
              <m:r>
                <w:rPr>
                  <w:rFonts w:ascii="Cambria Math" w:hAnsi="Cambria Math"/>
                  <w:color w:val="auto"/>
                </w:rPr>
                <m:t>f</m:t>
              </m:r>
              <m:ctrlPr>
                <w:rPr>
                  <w:rFonts w:ascii="Cambria Math" w:hAnsi="Cambria Math"/>
                  <w:color w:val="auto"/>
                  <w:vertAlign w:val="subscript"/>
                </w:rPr>
              </m:ctrlPr>
            </m:e>
            <m:sub>
              <m:r>
                <m:rPr>
                  <m:sty m:val="p"/>
                </m:rPr>
                <w:rPr>
                  <w:rFonts w:ascii="Cambria Math" w:hAnsi="Cambria Math"/>
                  <w:color w:val="auto"/>
                  <w:vertAlign w:val="subscript"/>
                </w:rPr>
                <m:t>cu</m:t>
              </m:r>
              <m:ctrlPr>
                <w:rPr>
                  <w:rFonts w:ascii="Cambria Math" w:hAnsi="Cambria Math"/>
                  <w:color w:val="auto"/>
                  <w:vertAlign w:val="subscript"/>
                </w:rPr>
              </m:ctrlPr>
            </m:sub>
            <m:sup>
              <m:r>
                <m:rPr>
                  <m:sty m:val="p"/>
                </m:rPr>
                <w:rPr>
                  <w:rFonts w:ascii="Cambria Math" w:hAnsi="Cambria Math"/>
                  <w:color w:val="auto"/>
                  <w:vertAlign w:val="subscript"/>
                </w:rPr>
                <m:t>c</m:t>
              </m:r>
              <m:ctrlPr>
                <w:rPr>
                  <w:rFonts w:ascii="Cambria Math" w:hAnsi="Cambria Math"/>
                  <w:color w:val="auto"/>
                  <w:vertAlign w:val="subscript"/>
                </w:rPr>
              </m:ctrlPr>
            </m:sup>
          </m:sSubSup>
          <m:r>
            <w:rPr>
              <w:rFonts w:ascii="Cambria Math" w:hAnsi="Cambria Math"/>
              <w:color w:val="auto"/>
              <w:vertAlign w:val="subscript"/>
            </w:rPr>
            <m:t>=27.48-2.51La</m:t>
          </m:r>
        </m:oMath>
      </m:oMathPara>
    </w:p>
    <w:p>
      <w:pPr>
        <w:snapToGrid w:val="0"/>
        <w:rPr>
          <w:color w:val="auto"/>
        </w:rPr>
      </w:pPr>
      <w:r>
        <w:rPr>
          <w:color w:val="auto"/>
        </w:rPr>
        <w:t>式中</w:t>
      </w:r>
      <w:r>
        <w:rPr>
          <w:rFonts w:hint="eastAsia"/>
          <w:color w:val="auto"/>
        </w:rPr>
        <w:t>：</w:t>
      </w:r>
      <w:r>
        <w:rPr>
          <w:i/>
          <w:color w:val="auto"/>
        </w:rPr>
        <w:t>f</w:t>
      </w:r>
      <w:r>
        <w:rPr>
          <w:i/>
          <w:color w:val="auto"/>
          <w:vertAlign w:val="subscript"/>
        </w:rPr>
        <w:t>cu</w:t>
      </w:r>
      <w:r>
        <w:rPr>
          <w:i/>
          <w:color w:val="auto"/>
          <w:vertAlign w:val="superscript"/>
        </w:rPr>
        <w:t>c</w:t>
      </w:r>
      <w:r>
        <w:rPr>
          <w:color w:val="auto"/>
        </w:rPr>
        <w:t>—射钉法混凝土强度换算值（MPa）；</w:t>
      </w:r>
    </w:p>
    <w:p>
      <w:pPr>
        <w:snapToGrid w:val="0"/>
        <w:ind w:firstLine="480" w:firstLineChars="200"/>
        <w:rPr>
          <w:color w:val="auto"/>
        </w:rPr>
      </w:pPr>
      <w:r>
        <w:rPr>
          <w:i/>
          <w:color w:val="auto"/>
        </w:rPr>
        <w:t>L</w:t>
      </w:r>
      <w:r>
        <w:rPr>
          <w:i/>
          <w:color w:val="auto"/>
          <w:vertAlign w:val="subscript"/>
        </w:rPr>
        <w:t>a</w:t>
      </w:r>
      <w:r>
        <w:rPr>
          <w:color w:val="auto"/>
        </w:rPr>
        <w:t>—测区测钉射入深度的平均值（mm）。</w:t>
      </w:r>
    </w:p>
    <w:p>
      <w:pPr>
        <w:snapToGrid w:val="0"/>
        <w:ind w:firstLine="480" w:firstLineChars="200"/>
        <w:rPr>
          <w:color w:val="auto"/>
        </w:rPr>
      </w:pPr>
      <w:r>
        <w:rPr>
          <w:color w:val="auto"/>
        </w:rPr>
        <w:t>为了建立混凝土与测钉射入深度间的关系，采用与喷射混凝土相同配合比成型30组边长150mm立方体试件，每组4个，含测射入深度试件1个，抗压强度试件3个。试件强度应覆盖需检测构筑物混凝土强度的变化范围，试件采用与现场结构相同养护方式。</w:t>
      </w:r>
    </w:p>
    <w:p>
      <w:pPr>
        <w:snapToGrid w:val="0"/>
        <w:ind w:firstLine="480" w:firstLineChars="200"/>
        <w:rPr>
          <w:color w:val="auto"/>
        </w:rPr>
      </w:pPr>
      <w:r>
        <w:rPr>
          <w:color w:val="auto"/>
        </w:rPr>
        <w:t>测试测钉射入深度时宜在混凝土试件的侧面布置7个测点，按照45mm等间距梅花形布置。测试时试件放在坚硬的平地上，使测试面向上。测试结束后检查7个射入深度的极差，当极差超过1.6mm时，应计算7个射入深度的平均值，剔除离平均值最远的测值；若剩余射入深度值仍不满足要求，按上述方法继续剔除，直至所有射入深度值满足要求且不少于5个。如有效射入深度值不少于5个，需进行补测。</w:t>
      </w:r>
    </w:p>
    <w:p>
      <w:pPr>
        <w:snapToGrid w:val="0"/>
        <w:jc w:val="center"/>
        <w:rPr>
          <w:color w:val="auto"/>
        </w:rPr>
      </w:pPr>
      <m:oMath>
        <m:sSubSup>
          <m:sSubSupPr>
            <m:ctrlPr>
              <w:rPr>
                <w:rFonts w:ascii="Cambria Math" w:hAnsi="Cambria Math"/>
                <w:color w:val="auto"/>
                <w:vertAlign w:val="subscript"/>
              </w:rPr>
            </m:ctrlPr>
          </m:sSubSupPr>
          <m:e>
            <m:r>
              <w:rPr>
                <w:rFonts w:ascii="Cambria Math" w:hAnsi="Cambria Math"/>
                <w:color w:val="auto"/>
              </w:rPr>
              <m:t>f</m:t>
            </m:r>
            <m:ctrlPr>
              <w:rPr>
                <w:rFonts w:ascii="Cambria Math" w:hAnsi="Cambria Math"/>
                <w:color w:val="auto"/>
                <w:vertAlign w:val="subscript"/>
              </w:rPr>
            </m:ctrlPr>
          </m:e>
          <m:sub>
            <m:r>
              <m:rPr>
                <m:sty m:val="p"/>
              </m:rPr>
              <w:rPr>
                <w:rFonts w:ascii="Cambria Math" w:hAnsi="Cambria Math"/>
                <w:color w:val="auto"/>
                <w:vertAlign w:val="subscript"/>
              </w:rPr>
              <m:t>cu,e</m:t>
            </m:r>
            <m:ctrlPr>
              <w:rPr>
                <w:rFonts w:ascii="Cambria Math" w:hAnsi="Cambria Math"/>
                <w:color w:val="auto"/>
                <w:vertAlign w:val="subscript"/>
              </w:rPr>
            </m:ctrlPr>
          </m:sub>
          <m:sup>
            <m:ctrlPr>
              <w:rPr>
                <w:rFonts w:ascii="Cambria Math" w:hAnsi="Cambria Math"/>
                <w:color w:val="auto"/>
                <w:vertAlign w:val="subscript"/>
              </w:rPr>
            </m:ctrlPr>
          </m:sup>
        </m:sSubSup>
        <m:r>
          <w:rPr>
            <w:rFonts w:ascii="Cambria Math" w:hAnsi="Cambria Math"/>
            <w:color w:val="auto"/>
            <w:vertAlign w:val="subscript"/>
          </w:rPr>
          <m:t>=a+bL</m:t>
        </m:r>
      </m:oMath>
      <w:r>
        <w:rPr>
          <w:color w:val="auto"/>
          <w:vertAlign w:val="subscript"/>
        </w:rPr>
        <w:t>a</w:t>
      </w:r>
    </w:p>
    <w:p>
      <w:pPr>
        <w:snapToGrid w:val="0"/>
        <w:rPr>
          <w:color w:val="auto"/>
        </w:rPr>
      </w:pPr>
      <w:r>
        <w:rPr>
          <w:color w:val="auto"/>
        </w:rPr>
        <w:t>式中</w:t>
      </w:r>
      <w:r>
        <w:rPr>
          <w:rFonts w:hint="eastAsia"/>
          <w:color w:val="auto"/>
        </w:rPr>
        <w:t>：</w:t>
      </w:r>
      <m:oMath>
        <m:sSub>
          <m:sSubPr>
            <m:ctrlPr>
              <w:rPr>
                <w:rFonts w:ascii="Cambria Math" w:hAnsi="Cambria Math"/>
                <w:i/>
                <w:color w:val="auto"/>
              </w:rPr>
            </m:ctrlPr>
          </m:sSubPr>
          <m:e>
            <m:r>
              <w:rPr>
                <w:rFonts w:ascii="Cambria Math" w:hAnsi="Cambria Math"/>
                <w:color w:val="auto"/>
              </w:rPr>
              <m:t>f</m:t>
            </m:r>
            <m:ctrlPr>
              <w:rPr>
                <w:rFonts w:ascii="Cambria Math" w:hAnsi="Cambria Math"/>
                <w:color w:val="auto"/>
                <w:vertAlign w:val="subscript"/>
              </w:rPr>
            </m:ctrlPr>
          </m:e>
          <m:sub>
            <m:r>
              <m:rPr>
                <m:sty m:val="p"/>
              </m:rPr>
              <w:rPr>
                <w:rFonts w:ascii="Cambria Math" w:hAnsi="Cambria Math"/>
                <w:color w:val="auto"/>
                <w:vertAlign w:val="subscript"/>
              </w:rPr>
              <m:t>cu,e</m:t>
            </m:r>
            <m:ctrlPr>
              <w:rPr>
                <w:rFonts w:ascii="Cambria Math" w:hAnsi="Cambria Math"/>
                <w:color w:val="auto"/>
                <w:vertAlign w:val="subscript"/>
              </w:rPr>
            </m:ctrlPr>
          </m:sub>
        </m:sSub>
      </m:oMath>
      <w:r>
        <w:rPr>
          <w:rFonts w:hint="eastAsia"/>
          <w:color w:val="auto"/>
        </w:rPr>
        <w:t>——</w:t>
      </w:r>
      <w:r>
        <w:rPr>
          <w:color w:val="auto"/>
        </w:rPr>
        <w:t>射钉法混凝土强度换算值（MPa）；</w:t>
      </w:r>
    </w:p>
    <w:p>
      <w:pPr>
        <w:snapToGrid w:val="0"/>
        <w:ind w:firstLine="480" w:firstLineChars="200"/>
        <w:rPr>
          <w:color w:val="auto"/>
        </w:rPr>
      </w:pPr>
      <m:oMath>
        <m:r>
          <w:rPr>
            <w:rFonts w:ascii="Cambria Math" w:hAnsi="Cambria Math"/>
            <w:color w:val="auto"/>
            <w:vertAlign w:val="subscript"/>
          </w:rPr>
          <m:t>L</m:t>
        </m:r>
      </m:oMath>
      <w:r>
        <w:rPr>
          <w:color w:val="auto"/>
          <w:vertAlign w:val="subscript"/>
        </w:rPr>
        <w:t>a</w:t>
      </w:r>
      <w:r>
        <w:rPr>
          <w:rFonts w:hint="eastAsia"/>
          <w:color w:val="auto"/>
        </w:rPr>
        <w:t>——</w:t>
      </w:r>
      <w:r>
        <w:rPr>
          <w:color w:val="auto"/>
        </w:rPr>
        <w:t>测区测钉射入深度的平均值（mm）</w:t>
      </w:r>
      <w:r>
        <w:rPr>
          <w:rFonts w:hint="eastAsia"/>
          <w:color w:val="auto"/>
        </w:rPr>
        <w:t>；</w:t>
      </w:r>
    </w:p>
    <w:p>
      <w:pPr>
        <w:snapToGrid w:val="0"/>
        <w:ind w:firstLine="480" w:firstLineChars="200"/>
        <w:rPr>
          <w:color w:val="auto"/>
        </w:rPr>
      </w:pPr>
      <m:oMath>
        <m:r>
          <w:rPr>
            <w:rFonts w:ascii="Cambria Math" w:hAnsi="Cambria Math"/>
            <w:color w:val="auto"/>
          </w:rPr>
          <m:t>a、b</m:t>
        </m:r>
      </m:oMath>
      <w:r>
        <w:rPr>
          <w:color w:val="auto"/>
        </w:rPr>
        <w:t xml:space="preserve"> ——射钉法检测混凝土强度曲线回归系数。</w:t>
      </w:r>
    </w:p>
    <w:p>
      <w:pPr>
        <w:snapToGrid w:val="0"/>
        <w:ind w:firstLine="480" w:firstLineChars="200"/>
        <w:rPr>
          <w:color w:val="auto"/>
        </w:rPr>
      </w:pPr>
      <w:r>
        <w:rPr>
          <w:color w:val="auto"/>
        </w:rPr>
        <w:t>建立的强度曲线仅限于建立曲线时使用的测钉装置。当受检混凝土与建立曲线混凝土在骨料品种及级配、强度有差异时，应另建立条件相同的测强曲线。</w:t>
      </w:r>
    </w:p>
    <w:p>
      <w:pPr>
        <w:widowControl/>
        <w:spacing w:line="240" w:lineRule="auto"/>
        <w:jc w:val="left"/>
        <w:rPr>
          <w:color w:val="auto"/>
          <w:szCs w:val="21"/>
        </w:rPr>
      </w:pPr>
    </w:p>
    <w:sectPr>
      <w:footerReference r:id="rId11" w:type="default"/>
      <w:pgSz w:w="11910" w:h="16840"/>
      <w:pgMar w:top="1580" w:right="1180" w:bottom="1160" w:left="1680" w:header="0" w:footer="976"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Plotter">
    <w:altName w:val="Times New Roman"/>
    <w:panose1 w:val="00000000000000000000"/>
    <w:charset w:val="00"/>
    <w:family w:val="roman"/>
    <w:pitch w:val="default"/>
    <w:sig w:usb0="00000000" w:usb1="00000000" w:usb2="00000000" w:usb3="00000000" w:csb0="00040001" w:csb1="00000000"/>
  </w:font>
  <w:font w:name="System">
    <w:altName w:val="宋体"/>
    <w:panose1 w:val="00000000000000000000"/>
    <w:charset w:val="86"/>
    <w:family w:val="auto"/>
    <w:pitch w:val="default"/>
    <w:sig w:usb0="00000000" w:usb1="00000000" w:usb2="00000010" w:usb3="00000000" w:csb0="00040000" w:csb1="00000000"/>
  </w:font>
  <w:font w:name="Calibri Light">
    <w:panose1 w:val="020F0302020204030204"/>
    <w:charset w:val="00"/>
    <w:family w:val="swiss"/>
    <w:pitch w:val="default"/>
    <w:sig w:usb0="E0002A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Arial Narrow">
    <w:panose1 w:val="020B0606020202030204"/>
    <w:charset w:val="00"/>
    <w:family w:val="swiss"/>
    <w:pitch w:val="default"/>
    <w:sig w:usb0="00000287" w:usb1="00000800" w:usb2="00000000" w:usb3="00000000" w:csb0="2000009F" w:csb1="DFD70000"/>
  </w:font>
  <w:font w:name="Garamond">
    <w:panose1 w:val="02020404030301010803"/>
    <w:charset w:val="00"/>
    <w:family w:val="roman"/>
    <w:pitch w:val="default"/>
    <w:sig w:usb0="00000287" w:usb1="00000000" w:usb2="00000000" w:usb3="00000000" w:csb0="0000009F" w:csb1="DFD70000"/>
  </w:font>
  <w:font w:name="金桥简粗姚">
    <w:altName w:val="宋体"/>
    <w:panose1 w:val="00000000000000000000"/>
    <w:charset w:val="86"/>
    <w:family w:val="modern"/>
    <w:pitch w:val="default"/>
    <w:sig w:usb0="00000000" w:usb1="00000000" w:usb2="00000010" w:usb3="00000000" w:csb0="00040000" w:csb1="00000000"/>
  </w:font>
  <w:font w:name="Century Schoolbook">
    <w:panose1 w:val="02040604050505020304"/>
    <w:charset w:val="00"/>
    <w:family w:val="roman"/>
    <w:pitch w:val="default"/>
    <w:sig w:usb0="00000287" w:usb1="00000000" w:usb2="00000000" w:usb3="00000000" w:csb0="2000009F" w:csb1="DFD70000"/>
  </w:font>
  <w:font w:name="文鼎大标宋简">
    <w:altName w:val="宋体"/>
    <w:panose1 w:val="00000000000000000000"/>
    <w:charset w:val="86"/>
    <w:family w:val="modern"/>
    <w:pitch w:val="default"/>
    <w:sig w:usb0="00000000" w:usb1="00000000" w:usb2="00000010" w:usb3="00000000" w:csb0="00040000" w:csb1="00000000"/>
  </w:font>
  <w:font w:name="_x001A_">
    <w:altName w:val="Times New Roman"/>
    <w:panose1 w:val="00000000000000000000"/>
    <w:charset w:val="00"/>
    <w:family w:val="roman"/>
    <w:pitch w:val="default"/>
    <w:sig w:usb0="00000000" w:usb1="00000000" w:usb2="00000000" w:usb3="00000000" w:csb0="0004000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ÂËÎ">
    <w:altName w:val="RomanS"/>
    <w:panose1 w:val="00000000000000000000"/>
    <w:charset w:val="00"/>
    <w:family w:val="swiss"/>
    <w:pitch w:val="default"/>
    <w:sig w:usb0="00000000" w:usb1="00000000" w:usb2="00000000" w:usb3="00000000" w:csb0="00000001" w:csb1="00000000"/>
  </w:font>
  <w:font w:name="RomanS">
    <w:panose1 w:val="02000400000000000000"/>
    <w:charset w:val="00"/>
    <w:family w:val="auto"/>
    <w:pitch w:val="default"/>
    <w:sig w:usb0="00000207" w:usb1="00000000" w:usb2="00000000" w:usb3="00000000" w:csb0="000001FF" w:csb1="00000000"/>
  </w:font>
  <w:font w:name="Courier">
    <w:altName w:val="Courier New"/>
    <w:panose1 w:val="02070409020205020404"/>
    <w:charset w:val="00"/>
    <w:family w:val="modern"/>
    <w:pitch w:val="default"/>
    <w:sig w:usb0="00000000" w:usb1="00000000" w:usb2="00000000" w:usb3="00000000" w:csb0="00000001" w:csb1="00000000"/>
  </w:font>
  <w:font w:name="TT64E9BFA0tCID">
    <w:altName w:val="Times New Roman"/>
    <w:panose1 w:val="00000000000000000000"/>
    <w:charset w:val="00"/>
    <w:family w:val="roman"/>
    <w:pitch w:val="default"/>
    <w:sig w:usb0="00000000" w:usb1="00000000" w:usb2="00000000" w:usb3="00000000" w:csb0="00000000" w:csb1="00000000"/>
  </w:font>
  <w:font w:name="ST Song">
    <w:altName w:val="宋体"/>
    <w:panose1 w:val="00000000000000000000"/>
    <w:charset w:val="86"/>
    <w:family w:val="swiss"/>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Cambria Math">
    <w:panose1 w:val="02040503050406030204"/>
    <w:charset w:val="00"/>
    <w:family w:val="roman"/>
    <w:pitch w:val="default"/>
    <w:sig w:usb0="E00006FF" w:usb1="420024FF" w:usb2="02000000" w:usb3="00000000" w:csb0="2000019F" w:csb1="00000000"/>
  </w:font>
  <w:font w:name="HiddenHorzOCR">
    <w:altName w:val="Yu Gothic"/>
    <w:panose1 w:val="00000000000000000000"/>
    <w:charset w:val="80"/>
    <w:family w:val="auto"/>
    <w:pitch w:val="default"/>
    <w:sig w:usb0="00000000" w:usb1="00000000" w:usb2="00000000" w:usb3="00000000" w:csb0="00020000" w:csb1="00000000"/>
  </w:font>
  <w:font w:name="Yu Gothic">
    <w:panose1 w:val="020B0400000000000000"/>
    <w:charset w:val="80"/>
    <w:family w:val="auto"/>
    <w:pitch w:val="default"/>
    <w:sig w:usb0="E00002FF" w:usb1="2AC7FDFF" w:usb2="00000016" w:usb3="00000000" w:csb0="2002009F" w:csb1="00000000"/>
  </w:font>
  <w:font w:name="十全十美体">
    <w:panose1 w:val="02010600010101010101"/>
    <w:charset w:val="86"/>
    <w:family w:val="auto"/>
    <w:pitch w:val="default"/>
    <w:sig w:usb0="A00002BF" w:usb1="184F6CFA" w:usb2="00000012" w:usb3="00000000" w:csb0="00040001" w:csb1="00000000"/>
  </w:font>
  <w:font w:name="义启小魏楷">
    <w:panose1 w:val="02010601030101010101"/>
    <w:charset w:val="80"/>
    <w:family w:val="auto"/>
    <w:pitch w:val="default"/>
    <w:sig w:usb0="800002BF" w:usb1="184F6CF8" w:usb2="00000012" w:usb3="00000000" w:csb0="0002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jc w:val="right"/>
    </w:pPr>
  </w:p>
  <w:p>
    <w:pPr>
      <w:pStyle w:val="26"/>
      <w:ind w:firstLine="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w:fldChar w:fldCharType="begin"/>
    </w:r>
    <w:r>
      <w:instrText xml:space="preserve">PAGE   \* MERGEFORMAT</w:instrText>
    </w:r>
    <w:r>
      <w:fldChar w:fldCharType="separate"/>
    </w:r>
    <w:r>
      <w:rPr>
        <w:lang w:val="zh-CN"/>
      </w:rPr>
      <w:t>2</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60288" behindDoc="1" locked="0" layoutInCell="1" allowOverlap="1">
              <wp:simplePos x="0" y="0"/>
              <wp:positionH relativeFrom="page">
                <wp:posOffset>3835400</wp:posOffset>
              </wp:positionH>
              <wp:positionV relativeFrom="page">
                <wp:posOffset>9933305</wp:posOffset>
              </wp:positionV>
              <wp:extent cx="252095" cy="160020"/>
              <wp:effectExtent l="0" t="0" r="14605" b="11430"/>
              <wp:wrapNone/>
              <wp:docPr id="61" name="Text Box 3"/>
              <wp:cNvGraphicFramePr/>
              <a:graphic xmlns:a="http://schemas.openxmlformats.org/drawingml/2006/main">
                <a:graphicData uri="http://schemas.microsoft.com/office/word/2010/wordprocessingShape">
                  <wps:wsp>
                    <wps:cNvSpPr txBox="1">
                      <a:spLocks noChangeArrowheads="1"/>
                    </wps:cNvSpPr>
                    <wps:spPr bwMode="auto">
                      <a:xfrm>
                        <a:off x="0" y="0"/>
                        <a:ext cx="252095" cy="160020"/>
                      </a:xfrm>
                      <a:prstGeom prst="rect">
                        <a:avLst/>
                      </a:prstGeom>
                      <a:noFill/>
                      <a:ln>
                        <a:noFill/>
                      </a:ln>
                    </wps:spPr>
                    <wps:txbx>
                      <w:txbxContent>
                        <w:p>
                          <w:pPr>
                            <w:spacing w:line="235" w:lineRule="exact"/>
                            <w:ind w:left="40"/>
                            <w:rPr>
                              <w:rFonts w:eastAsia="Times New Roman"/>
                              <w:szCs w:val="21"/>
                            </w:rPr>
                          </w:pPr>
                          <w:r>
                            <w:fldChar w:fldCharType="begin"/>
                          </w:r>
                          <w:r>
                            <w:instrText xml:space="preserve"> PAGE </w:instrText>
                          </w:r>
                          <w:r>
                            <w:fldChar w:fldCharType="separate"/>
                          </w:r>
                          <w:r>
                            <w:t>44</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302pt;margin-top:782.15pt;height:12.6pt;width:19.85pt;mso-position-horizontal-relative:page;mso-position-vertical-relative:page;z-index:-251656192;mso-width-relative:page;mso-height-relative:page;" filled="f" stroked="f" coordsize="21600,21600" o:gfxdata="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o+Sb12wAA&#10;AA0BAAAPAAAAAAAAAAEAIAAAACIAAABkcnMvZG93bnJldi54bWxQSwECFAAUAAAACACHTuJAtQUR&#10;7uIBAAC2AwAADgAAAAAAAAABACAAAAAqAQAAZHJzL2Uyb0RvYy54bWxQSwUGAAAAAAYABgBZAQAA&#10;fgUAAAAA&#10;">
              <v:fill on="f" focussize="0,0"/>
              <v:stroke on="f"/>
              <v:imagedata o:title=""/>
              <o:lock v:ext="edit" aspectratio="f"/>
              <v:textbox inset="0mm,0mm,0mm,0mm">
                <w:txbxContent>
                  <w:p>
                    <w:pPr>
                      <w:spacing w:line="235" w:lineRule="exact"/>
                      <w:ind w:left="40"/>
                      <w:rPr>
                        <w:rFonts w:eastAsia="Times New Roman"/>
                        <w:szCs w:val="21"/>
                      </w:rPr>
                    </w:pPr>
                    <w:r>
                      <w:fldChar w:fldCharType="begin"/>
                    </w:r>
                    <w:r>
                      <w:instrText xml:space="preserve"> PAGE </w:instrText>
                    </w:r>
                    <w:r>
                      <w:fldChar w:fldCharType="separate"/>
                    </w:r>
                    <w:r>
                      <w:t>44</w:t>
                    </w:r>
                    <w:r>
                      <w:fldChar w:fldCharType="end"/>
                    </w:r>
                  </w:p>
                </w:txbxContent>
              </v:textbox>
            </v:shape>
          </w:pict>
        </mc:Fallback>
      </mc:AlternateContent>
    </w:r>
  </w:p>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0"/>
        <w:szCs w:val="20"/>
      </w:rPr>
    </w:pPr>
    <w:r>
      <mc:AlternateContent>
        <mc:Choice Requires="wps">
          <w:drawing>
            <wp:anchor distT="0" distB="0" distL="114300" distR="114300" simplePos="0" relativeHeight="251659264" behindDoc="1" locked="0" layoutInCell="1" allowOverlap="1">
              <wp:simplePos x="0" y="0"/>
              <wp:positionH relativeFrom="page">
                <wp:posOffset>3835400</wp:posOffset>
              </wp:positionH>
              <wp:positionV relativeFrom="page">
                <wp:posOffset>9933305</wp:posOffset>
              </wp:positionV>
              <wp:extent cx="252095" cy="160020"/>
              <wp:effectExtent l="0" t="0" r="14605" b="11430"/>
              <wp:wrapNone/>
              <wp:docPr id="60" name="Text Box 2"/>
              <wp:cNvGraphicFramePr/>
              <a:graphic xmlns:a="http://schemas.openxmlformats.org/drawingml/2006/main">
                <a:graphicData uri="http://schemas.microsoft.com/office/word/2010/wordprocessingShape">
                  <wps:wsp>
                    <wps:cNvSpPr txBox="1">
                      <a:spLocks noChangeArrowheads="1"/>
                    </wps:cNvSpPr>
                    <wps:spPr bwMode="auto">
                      <a:xfrm>
                        <a:off x="0" y="0"/>
                        <a:ext cx="252095" cy="160020"/>
                      </a:xfrm>
                      <a:prstGeom prst="rect">
                        <a:avLst/>
                      </a:prstGeom>
                      <a:noFill/>
                      <a:ln>
                        <a:noFill/>
                      </a:ln>
                    </wps:spPr>
                    <wps:txbx>
                      <w:txbxContent>
                        <w:p>
                          <w:pPr>
                            <w:spacing w:line="235" w:lineRule="exact"/>
                            <w:ind w:left="40"/>
                            <w:rPr>
                              <w:rFonts w:eastAsia="Times New Roman"/>
                              <w:szCs w:val="21"/>
                            </w:rPr>
                          </w:pPr>
                          <w:r>
                            <w:fldChar w:fldCharType="begin"/>
                          </w:r>
                          <w:r>
                            <w:instrText xml:space="preserve"> PAGE </w:instrText>
                          </w:r>
                          <w:r>
                            <w:fldChar w:fldCharType="separate"/>
                          </w:r>
                          <w:r>
                            <w:t>35</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302pt;margin-top:782.15pt;height:12.6pt;width:19.85pt;mso-position-horizontal-relative:page;mso-position-vertical-relative:page;z-index:-251657216;mso-width-relative:page;mso-height-relative:page;" filled="f" stroked="f" coordsize="21600,21600" o:gfxdata="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Gj5JvXbAAAA&#10;DQEAAA8AAAAAAAAAAQAgAAAAIgAAAGRycy9kb3ducmV2LnhtbFBLAQIUABQAAAAIAIdO4kBAjNes&#10;4QEAALYDAAAOAAAAAAAAAAEAIAAAACoBAABkcnMvZTJvRG9jLnhtbFBLBQYAAAAABgAGAFkBAAB9&#10;BQAAAAA=&#10;">
              <v:fill on="f" focussize="0,0"/>
              <v:stroke on="f"/>
              <v:imagedata o:title=""/>
              <o:lock v:ext="edit" aspectratio="f"/>
              <v:textbox inset="0mm,0mm,0mm,0mm">
                <w:txbxContent>
                  <w:p>
                    <w:pPr>
                      <w:spacing w:line="235" w:lineRule="exact"/>
                      <w:ind w:left="40"/>
                      <w:rPr>
                        <w:rFonts w:eastAsia="Times New Roman"/>
                        <w:szCs w:val="21"/>
                      </w:rPr>
                    </w:pPr>
                    <w:r>
                      <w:fldChar w:fldCharType="begin"/>
                    </w:r>
                    <w:r>
                      <w:instrText xml:space="preserve"> PAGE </w:instrText>
                    </w:r>
                    <w:r>
                      <w:fldChar w:fldCharType="separate"/>
                    </w:r>
                    <w:r>
                      <w:t>35</w:t>
                    </w:r>
                    <w:r>
                      <w:fldChar w:fldCharType="end"/>
                    </w:r>
                  </w:p>
                </w:txbxContent>
              </v:textbox>
            </v:shape>
          </w:pict>
        </mc:Fallback>
      </mc:AlternateContent>
    </w:r>
  </w:p>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ind w:firstLine="360"/>
      <w:jc w:val="center"/>
    </w:pPr>
    <w:r>
      <w:fldChar w:fldCharType="begin"/>
    </w:r>
    <w:r>
      <w:instrText xml:space="preserve">PAGE   \* MERGEFORMAT</w:instrText>
    </w:r>
    <w:r>
      <w:fldChar w:fldCharType="separate"/>
    </w:r>
    <w:r>
      <w:rPr>
        <w:lang w:val="zh-CN"/>
      </w:rPr>
      <w:t>65</w:t>
    </w:r>
    <w:r>
      <w:rPr>
        <w:lang w:val="zh-CN"/>
      </w:rPr>
      <w:fldChar w:fldCharType="end"/>
    </w: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D694022"/>
    <w:multiLevelType w:val="singleLevel"/>
    <w:tmpl w:val="ED694022"/>
    <w:lvl w:ilvl="0" w:tentative="0">
      <w:start w:val="7"/>
      <w:numFmt w:val="chineseCounting"/>
      <w:pStyle w:val="78"/>
      <w:suff w:val="nothing"/>
      <w:lvlText w:val="%1、"/>
      <w:lvlJc w:val="left"/>
      <w:rPr>
        <w:rFonts w:hint="eastAsia"/>
      </w:rPr>
    </w:lvl>
  </w:abstractNum>
  <w:abstractNum w:abstractNumId="1">
    <w:nsid w:val="023611D9"/>
    <w:multiLevelType w:val="multilevel"/>
    <w:tmpl w:val="023611D9"/>
    <w:lvl w:ilvl="0" w:tentative="0">
      <w:start w:val="1"/>
      <w:numFmt w:val="decimal"/>
      <w:lvlText w:val="7.6.%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5CB755E"/>
    <w:multiLevelType w:val="multilevel"/>
    <w:tmpl w:val="05CB755E"/>
    <w:lvl w:ilvl="0" w:tentative="0">
      <w:start w:val="1"/>
      <w:numFmt w:val="decimal"/>
      <w:lvlText w:val="5.2.%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06C0235B"/>
    <w:multiLevelType w:val="multilevel"/>
    <w:tmpl w:val="06C0235B"/>
    <w:lvl w:ilvl="0" w:tentative="0">
      <w:start w:val="1"/>
      <w:numFmt w:val="decimal"/>
      <w:lvlText w:val="5.3.%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CB93F7F"/>
    <w:multiLevelType w:val="multilevel"/>
    <w:tmpl w:val="0CB93F7F"/>
    <w:lvl w:ilvl="0" w:tentative="0">
      <w:start w:val="1"/>
      <w:numFmt w:val="decimal"/>
      <w:lvlText w:val="7.3.%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587156C"/>
    <w:multiLevelType w:val="multilevel"/>
    <w:tmpl w:val="1587156C"/>
    <w:lvl w:ilvl="0" w:tentative="0">
      <w:start w:val="1"/>
      <w:numFmt w:val="decimal"/>
      <w:lvlText w:val="8.1.%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EE311DC"/>
    <w:multiLevelType w:val="multilevel"/>
    <w:tmpl w:val="1EE311DC"/>
    <w:lvl w:ilvl="0" w:tentative="0">
      <w:start w:val="1"/>
      <w:numFmt w:val="decimal"/>
      <w:lvlText w:val="5.5.%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384373C"/>
    <w:multiLevelType w:val="multilevel"/>
    <w:tmpl w:val="2384373C"/>
    <w:lvl w:ilvl="0" w:tentative="0">
      <w:start w:val="2"/>
      <w:numFmt w:val="decimalEnclosedCircle"/>
      <w:lvlText w:val="%1"/>
      <w:lvlJc w:val="left"/>
      <w:pPr>
        <w:ind w:left="360" w:hanging="360"/>
      </w:pPr>
      <w:rPr>
        <w:rFonts w:hint="default" w:ascii="宋体" w:hAnsi="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48D7008"/>
    <w:multiLevelType w:val="multilevel"/>
    <w:tmpl w:val="248D7008"/>
    <w:lvl w:ilvl="0" w:tentative="0">
      <w:start w:val="1"/>
      <w:numFmt w:val="decimal"/>
      <w:lvlText w:val="4.1.%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25A430C8"/>
    <w:multiLevelType w:val="multilevel"/>
    <w:tmpl w:val="25A430C8"/>
    <w:lvl w:ilvl="0" w:tentative="0">
      <w:start w:val="1"/>
      <w:numFmt w:val="decimal"/>
      <w:lvlText w:val="2.1.%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271C12A7"/>
    <w:multiLevelType w:val="multilevel"/>
    <w:tmpl w:val="271C12A7"/>
    <w:lvl w:ilvl="0" w:tentative="0">
      <w:start w:val="1"/>
      <w:numFmt w:val="decimal"/>
      <w:lvlText w:val="8.3.%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8DD5F60"/>
    <w:multiLevelType w:val="multilevel"/>
    <w:tmpl w:val="28DD5F60"/>
    <w:lvl w:ilvl="0" w:tentative="0">
      <w:start w:val="1"/>
      <w:numFmt w:val="decimal"/>
      <w:lvlText w:val="5.1.%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2EE71C83"/>
    <w:multiLevelType w:val="multilevel"/>
    <w:tmpl w:val="2EE71C83"/>
    <w:lvl w:ilvl="0" w:tentative="0">
      <w:start w:val="1"/>
      <w:numFmt w:val="decimal"/>
      <w:lvlText w:val="4.4.%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33B60863"/>
    <w:multiLevelType w:val="multilevel"/>
    <w:tmpl w:val="33B60863"/>
    <w:lvl w:ilvl="0" w:tentative="0">
      <w:start w:val="1"/>
      <w:numFmt w:val="decimal"/>
      <w:lvlText w:val="7.2.%1"/>
      <w:lvlJc w:val="left"/>
      <w:pPr>
        <w:ind w:left="562"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3D9548D4"/>
    <w:multiLevelType w:val="multilevel"/>
    <w:tmpl w:val="3D9548D4"/>
    <w:lvl w:ilvl="0" w:tentative="0">
      <w:start w:val="1"/>
      <w:numFmt w:val="decimal"/>
      <w:lvlText w:val="7.1.%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42E20A6D"/>
    <w:multiLevelType w:val="multilevel"/>
    <w:tmpl w:val="42E20A6D"/>
    <w:lvl w:ilvl="0" w:tentative="0">
      <w:start w:val="1"/>
      <w:numFmt w:val="decimal"/>
      <w:lvlText w:val="9.3.%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499642F8"/>
    <w:multiLevelType w:val="multilevel"/>
    <w:tmpl w:val="499642F8"/>
    <w:lvl w:ilvl="0" w:tentative="0">
      <w:start w:val="1"/>
      <w:numFmt w:val="decimal"/>
      <w:lvlText w:val="4.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4C592CA2"/>
    <w:multiLevelType w:val="multilevel"/>
    <w:tmpl w:val="4C592CA2"/>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8">
    <w:nsid w:val="500755B8"/>
    <w:multiLevelType w:val="multilevel"/>
    <w:tmpl w:val="500755B8"/>
    <w:lvl w:ilvl="0" w:tentative="0">
      <w:start w:val="1"/>
      <w:numFmt w:val="decimal"/>
      <w:lvlText w:val="1.0.%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56E55066"/>
    <w:multiLevelType w:val="multilevel"/>
    <w:tmpl w:val="56E55066"/>
    <w:lvl w:ilvl="0" w:tentative="0">
      <w:start w:val="1"/>
      <w:numFmt w:val="decimal"/>
      <w:lvlText w:val="5.4.%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57DA1B96"/>
    <w:multiLevelType w:val="multilevel"/>
    <w:tmpl w:val="57DA1B96"/>
    <w:lvl w:ilvl="0" w:tentative="0">
      <w:start w:val="1"/>
      <w:numFmt w:val="decimal"/>
      <w:lvlText w:val="7.4.%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592A5E8F"/>
    <w:multiLevelType w:val="multilevel"/>
    <w:tmpl w:val="592A5E8F"/>
    <w:lvl w:ilvl="0" w:tentative="0">
      <w:start w:val="1"/>
      <w:numFmt w:val="decimal"/>
      <w:lvlText w:val="3.3.%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59641BDD"/>
    <w:multiLevelType w:val="multilevel"/>
    <w:tmpl w:val="59641BDD"/>
    <w:lvl w:ilvl="0" w:tentative="0">
      <w:start w:val="1"/>
      <w:numFmt w:val="decimal"/>
      <w:lvlText w:val="8.2.%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5AD7259C"/>
    <w:multiLevelType w:val="multilevel"/>
    <w:tmpl w:val="5AD7259C"/>
    <w:lvl w:ilvl="0" w:tentative="0">
      <w:start w:val="1"/>
      <w:numFmt w:val="decimal"/>
      <w:lvlText w:val="4.5.%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5D456AFA"/>
    <w:multiLevelType w:val="multilevel"/>
    <w:tmpl w:val="5D456AFA"/>
    <w:lvl w:ilvl="0" w:tentative="0">
      <w:start w:val="1"/>
      <w:numFmt w:val="decimal"/>
      <w:lvlText w:val="6.1.%1"/>
      <w:lvlJc w:val="left"/>
      <w:pPr>
        <w:ind w:left="562"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646260FA"/>
    <w:multiLevelType w:val="multilevel"/>
    <w:tmpl w:val="646260FA"/>
    <w:lvl w:ilvl="0" w:tentative="0">
      <w:start w:val="1"/>
      <w:numFmt w:val="decimal"/>
      <w:pStyle w:val="58"/>
      <w:suff w:val="nothing"/>
      <w:lvlText w:val="表%1　"/>
      <w:lvlJc w:val="left"/>
      <w:pPr>
        <w:ind w:left="2694" w:firstLine="0"/>
      </w:pPr>
      <w:rPr>
        <w:rFonts w:hint="eastAsia" w:ascii="黑体" w:hAnsi="Times New Roman" w:eastAsia="黑体"/>
        <w:b w:val="0"/>
        <w:i w:val="0"/>
        <w:sz w:val="21"/>
        <w:lang w:val="en-US"/>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4BF3F73"/>
    <w:multiLevelType w:val="multilevel"/>
    <w:tmpl w:val="64BF3F73"/>
    <w:lvl w:ilvl="0" w:tentative="0">
      <w:start w:val="1"/>
      <w:numFmt w:val="decimal"/>
      <w:lvlText w:val="6.3.%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5507529"/>
    <w:multiLevelType w:val="multilevel"/>
    <w:tmpl w:val="65507529"/>
    <w:lvl w:ilvl="0" w:tentative="0">
      <w:start w:val="1"/>
      <w:numFmt w:val="decimal"/>
      <w:lvlText w:val="9.2.%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9D1244"/>
    <w:multiLevelType w:val="multilevel"/>
    <w:tmpl w:val="6C9D1244"/>
    <w:lvl w:ilvl="0" w:tentative="0">
      <w:start w:val="1"/>
      <w:numFmt w:val="decimal"/>
      <w:lvlText w:val="7.7.%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D1C2B8C"/>
    <w:multiLevelType w:val="multilevel"/>
    <w:tmpl w:val="6D1C2B8C"/>
    <w:lvl w:ilvl="0" w:tentative="0">
      <w:start w:val="1"/>
      <w:numFmt w:val="decimal"/>
      <w:lvlText w:val="7.5.%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6E5502B2"/>
    <w:multiLevelType w:val="multilevel"/>
    <w:tmpl w:val="6E5502B2"/>
    <w:lvl w:ilvl="0" w:tentative="0">
      <w:start w:val="1"/>
      <w:numFmt w:val="decimal"/>
      <w:lvlText w:val="9.1.%1"/>
      <w:lvlJc w:val="left"/>
      <w:pPr>
        <w:ind w:left="420"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FDB06E2"/>
    <w:multiLevelType w:val="multilevel"/>
    <w:tmpl w:val="6FDB06E2"/>
    <w:lvl w:ilvl="0" w:tentative="0">
      <w:start w:val="1"/>
      <w:numFmt w:val="decimal"/>
      <w:lvlText w:val="4.3.%1"/>
      <w:lvlJc w:val="left"/>
      <w:pPr>
        <w:ind w:left="987" w:hanging="420"/>
      </w:pPr>
      <w:rPr>
        <w:rFonts w:hint="eastAsia"/>
        <w:b/>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71452631"/>
    <w:multiLevelType w:val="multilevel"/>
    <w:tmpl w:val="71452631"/>
    <w:lvl w:ilvl="0" w:tentative="0">
      <w:start w:val="1"/>
      <w:numFmt w:val="decimal"/>
      <w:lvlText w:val="3.2.%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3">
    <w:nsid w:val="79AF794F"/>
    <w:multiLevelType w:val="multilevel"/>
    <w:tmpl w:val="79AF794F"/>
    <w:lvl w:ilvl="0" w:tentative="0">
      <w:start w:val="1"/>
      <w:numFmt w:val="decimal"/>
      <w:lvlText w:val="6.2.%1"/>
      <w:lvlJc w:val="left"/>
      <w:pPr>
        <w:ind w:left="846" w:hanging="420"/>
      </w:pPr>
      <w:rPr>
        <w:rFonts w:hint="eastAsia"/>
        <w:b/>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34">
    <w:nsid w:val="7ADA5073"/>
    <w:multiLevelType w:val="multilevel"/>
    <w:tmpl w:val="7ADA5073"/>
    <w:lvl w:ilvl="0" w:tentative="0">
      <w:start w:val="1"/>
      <w:numFmt w:val="decimal"/>
      <w:lvlText w:val="3.1.%1"/>
      <w:lvlJc w:val="left"/>
      <w:pPr>
        <w:ind w:left="420" w:hanging="420"/>
      </w:pPr>
      <w:rPr>
        <w:rFonts w:hint="eastAsia"/>
        <w:b/>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5"/>
  </w:num>
  <w:num w:numId="2">
    <w:abstractNumId w:val="0"/>
  </w:num>
  <w:num w:numId="3">
    <w:abstractNumId w:val="17"/>
  </w:num>
  <w:num w:numId="4">
    <w:abstractNumId w:val="18"/>
  </w:num>
  <w:num w:numId="5">
    <w:abstractNumId w:val="9"/>
  </w:num>
  <w:num w:numId="6">
    <w:abstractNumId w:val="34"/>
  </w:num>
  <w:num w:numId="7">
    <w:abstractNumId w:val="32"/>
  </w:num>
  <w:num w:numId="8">
    <w:abstractNumId w:val="21"/>
  </w:num>
  <w:num w:numId="9">
    <w:abstractNumId w:val="8"/>
  </w:num>
  <w:num w:numId="10">
    <w:abstractNumId w:val="16"/>
  </w:num>
  <w:num w:numId="11">
    <w:abstractNumId w:val="31"/>
  </w:num>
  <w:num w:numId="12">
    <w:abstractNumId w:val="7"/>
  </w:num>
  <w:num w:numId="13">
    <w:abstractNumId w:val="12"/>
  </w:num>
  <w:num w:numId="14">
    <w:abstractNumId w:val="23"/>
  </w:num>
  <w:num w:numId="15">
    <w:abstractNumId w:val="11"/>
  </w:num>
  <w:num w:numId="16">
    <w:abstractNumId w:val="2"/>
  </w:num>
  <w:num w:numId="17">
    <w:abstractNumId w:val="3"/>
  </w:num>
  <w:num w:numId="18">
    <w:abstractNumId w:val="19"/>
  </w:num>
  <w:num w:numId="19">
    <w:abstractNumId w:val="6"/>
  </w:num>
  <w:num w:numId="20">
    <w:abstractNumId w:val="24"/>
  </w:num>
  <w:num w:numId="21">
    <w:abstractNumId w:val="33"/>
  </w:num>
  <w:num w:numId="22">
    <w:abstractNumId w:val="26"/>
  </w:num>
  <w:num w:numId="23">
    <w:abstractNumId w:val="14"/>
  </w:num>
  <w:num w:numId="24">
    <w:abstractNumId w:val="13"/>
  </w:num>
  <w:num w:numId="25">
    <w:abstractNumId w:val="4"/>
  </w:num>
  <w:num w:numId="26">
    <w:abstractNumId w:val="20"/>
  </w:num>
  <w:num w:numId="27">
    <w:abstractNumId w:val="29"/>
  </w:num>
  <w:num w:numId="28">
    <w:abstractNumId w:val="1"/>
  </w:num>
  <w:num w:numId="29">
    <w:abstractNumId w:val="28"/>
  </w:num>
  <w:num w:numId="30">
    <w:abstractNumId w:val="5"/>
  </w:num>
  <w:num w:numId="31">
    <w:abstractNumId w:val="22"/>
  </w:num>
  <w:num w:numId="32">
    <w:abstractNumId w:val="10"/>
  </w:num>
  <w:num w:numId="33">
    <w:abstractNumId w:val="30"/>
  </w:num>
  <w:num w:numId="34">
    <w:abstractNumId w:val="27"/>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hideSpellingError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84"/>
    <w:rsid w:val="000028CD"/>
    <w:rsid w:val="000028E5"/>
    <w:rsid w:val="00002CBF"/>
    <w:rsid w:val="00004675"/>
    <w:rsid w:val="00004690"/>
    <w:rsid w:val="00004999"/>
    <w:rsid w:val="00004AD0"/>
    <w:rsid w:val="00004ED0"/>
    <w:rsid w:val="00004F73"/>
    <w:rsid w:val="000051A9"/>
    <w:rsid w:val="00005357"/>
    <w:rsid w:val="00005CBA"/>
    <w:rsid w:val="00006D64"/>
    <w:rsid w:val="0001066C"/>
    <w:rsid w:val="00011017"/>
    <w:rsid w:val="000113CC"/>
    <w:rsid w:val="0001143A"/>
    <w:rsid w:val="0001196C"/>
    <w:rsid w:val="00011A9B"/>
    <w:rsid w:val="00011DE2"/>
    <w:rsid w:val="00012461"/>
    <w:rsid w:val="00012C9C"/>
    <w:rsid w:val="00013089"/>
    <w:rsid w:val="000138D2"/>
    <w:rsid w:val="00013BC1"/>
    <w:rsid w:val="000143A6"/>
    <w:rsid w:val="00015102"/>
    <w:rsid w:val="000155CA"/>
    <w:rsid w:val="00015627"/>
    <w:rsid w:val="00015B2A"/>
    <w:rsid w:val="000160ED"/>
    <w:rsid w:val="0001631C"/>
    <w:rsid w:val="000169FE"/>
    <w:rsid w:val="000172A2"/>
    <w:rsid w:val="00017661"/>
    <w:rsid w:val="00020883"/>
    <w:rsid w:val="00020B51"/>
    <w:rsid w:val="000212AF"/>
    <w:rsid w:val="0002192B"/>
    <w:rsid w:val="00021B87"/>
    <w:rsid w:val="00022000"/>
    <w:rsid w:val="0002223B"/>
    <w:rsid w:val="00022847"/>
    <w:rsid w:val="00022BAA"/>
    <w:rsid w:val="00022D62"/>
    <w:rsid w:val="00023134"/>
    <w:rsid w:val="000239A1"/>
    <w:rsid w:val="00023A74"/>
    <w:rsid w:val="00023DED"/>
    <w:rsid w:val="000243F6"/>
    <w:rsid w:val="00024938"/>
    <w:rsid w:val="00024D66"/>
    <w:rsid w:val="00024DC4"/>
    <w:rsid w:val="000253C5"/>
    <w:rsid w:val="00025C9E"/>
    <w:rsid w:val="00025D5A"/>
    <w:rsid w:val="00026B38"/>
    <w:rsid w:val="0002740A"/>
    <w:rsid w:val="00027D55"/>
    <w:rsid w:val="00027DED"/>
    <w:rsid w:val="00027F34"/>
    <w:rsid w:val="00030149"/>
    <w:rsid w:val="00030861"/>
    <w:rsid w:val="00030D16"/>
    <w:rsid w:val="000313ED"/>
    <w:rsid w:val="00031AA7"/>
    <w:rsid w:val="00031BC8"/>
    <w:rsid w:val="00032145"/>
    <w:rsid w:val="0003261A"/>
    <w:rsid w:val="00032815"/>
    <w:rsid w:val="00032B2B"/>
    <w:rsid w:val="00032F56"/>
    <w:rsid w:val="000336D6"/>
    <w:rsid w:val="00033A81"/>
    <w:rsid w:val="00033D79"/>
    <w:rsid w:val="000341A9"/>
    <w:rsid w:val="00034D0D"/>
    <w:rsid w:val="00035746"/>
    <w:rsid w:val="000357C8"/>
    <w:rsid w:val="00035F8C"/>
    <w:rsid w:val="000368A5"/>
    <w:rsid w:val="000370F5"/>
    <w:rsid w:val="000376BD"/>
    <w:rsid w:val="0004071F"/>
    <w:rsid w:val="000408FE"/>
    <w:rsid w:val="00040A0F"/>
    <w:rsid w:val="00041C48"/>
    <w:rsid w:val="000430F7"/>
    <w:rsid w:val="000437B9"/>
    <w:rsid w:val="000438CB"/>
    <w:rsid w:val="000438E6"/>
    <w:rsid w:val="000439F5"/>
    <w:rsid w:val="000440A6"/>
    <w:rsid w:val="00044763"/>
    <w:rsid w:val="00044978"/>
    <w:rsid w:val="00045081"/>
    <w:rsid w:val="00045297"/>
    <w:rsid w:val="00045540"/>
    <w:rsid w:val="000457C8"/>
    <w:rsid w:val="00045813"/>
    <w:rsid w:val="0004582E"/>
    <w:rsid w:val="00045CA1"/>
    <w:rsid w:val="00046230"/>
    <w:rsid w:val="0004659C"/>
    <w:rsid w:val="000465C0"/>
    <w:rsid w:val="00046D6C"/>
    <w:rsid w:val="000470CD"/>
    <w:rsid w:val="00047B9F"/>
    <w:rsid w:val="00047C69"/>
    <w:rsid w:val="00050058"/>
    <w:rsid w:val="0005037F"/>
    <w:rsid w:val="000504DE"/>
    <w:rsid w:val="00051294"/>
    <w:rsid w:val="000512D7"/>
    <w:rsid w:val="00051401"/>
    <w:rsid w:val="0005156F"/>
    <w:rsid w:val="000515A6"/>
    <w:rsid w:val="00052F70"/>
    <w:rsid w:val="00053184"/>
    <w:rsid w:val="000531FA"/>
    <w:rsid w:val="00053A7F"/>
    <w:rsid w:val="00053B8B"/>
    <w:rsid w:val="00053D9B"/>
    <w:rsid w:val="000543F5"/>
    <w:rsid w:val="000544CF"/>
    <w:rsid w:val="0005458E"/>
    <w:rsid w:val="00054663"/>
    <w:rsid w:val="00054670"/>
    <w:rsid w:val="00054DC9"/>
    <w:rsid w:val="00055716"/>
    <w:rsid w:val="000557EA"/>
    <w:rsid w:val="000563C6"/>
    <w:rsid w:val="0005640B"/>
    <w:rsid w:val="000565CD"/>
    <w:rsid w:val="0005746A"/>
    <w:rsid w:val="00057F29"/>
    <w:rsid w:val="00060247"/>
    <w:rsid w:val="00060279"/>
    <w:rsid w:val="0006037B"/>
    <w:rsid w:val="0006180D"/>
    <w:rsid w:val="00061C5B"/>
    <w:rsid w:val="000622CE"/>
    <w:rsid w:val="0006280C"/>
    <w:rsid w:val="000632FD"/>
    <w:rsid w:val="00063431"/>
    <w:rsid w:val="0006428A"/>
    <w:rsid w:val="0006433C"/>
    <w:rsid w:val="00064BD0"/>
    <w:rsid w:val="00065FEF"/>
    <w:rsid w:val="0006603D"/>
    <w:rsid w:val="0006624F"/>
    <w:rsid w:val="000663F4"/>
    <w:rsid w:val="00070004"/>
    <w:rsid w:val="0007004B"/>
    <w:rsid w:val="00070794"/>
    <w:rsid w:val="00070CA3"/>
    <w:rsid w:val="0007109C"/>
    <w:rsid w:val="0007149D"/>
    <w:rsid w:val="000717CB"/>
    <w:rsid w:val="00072228"/>
    <w:rsid w:val="000724D9"/>
    <w:rsid w:val="000729AA"/>
    <w:rsid w:val="00072B21"/>
    <w:rsid w:val="00074062"/>
    <w:rsid w:val="00074097"/>
    <w:rsid w:val="00074C73"/>
    <w:rsid w:val="00075BA9"/>
    <w:rsid w:val="000766B3"/>
    <w:rsid w:val="00076785"/>
    <w:rsid w:val="00076A05"/>
    <w:rsid w:val="00077A7F"/>
    <w:rsid w:val="00080136"/>
    <w:rsid w:val="0008070A"/>
    <w:rsid w:val="00081257"/>
    <w:rsid w:val="00081D2D"/>
    <w:rsid w:val="00082562"/>
    <w:rsid w:val="00082B03"/>
    <w:rsid w:val="00082DE2"/>
    <w:rsid w:val="000832CF"/>
    <w:rsid w:val="000838E0"/>
    <w:rsid w:val="00083B34"/>
    <w:rsid w:val="00083B7B"/>
    <w:rsid w:val="00083CAB"/>
    <w:rsid w:val="0008440B"/>
    <w:rsid w:val="00084774"/>
    <w:rsid w:val="00084930"/>
    <w:rsid w:val="000853C3"/>
    <w:rsid w:val="000857E7"/>
    <w:rsid w:val="00085D45"/>
    <w:rsid w:val="00085E5E"/>
    <w:rsid w:val="00085FD2"/>
    <w:rsid w:val="000861B4"/>
    <w:rsid w:val="00086680"/>
    <w:rsid w:val="000866A9"/>
    <w:rsid w:val="00086873"/>
    <w:rsid w:val="00086E86"/>
    <w:rsid w:val="00087204"/>
    <w:rsid w:val="000877C5"/>
    <w:rsid w:val="00087DDA"/>
    <w:rsid w:val="00087E40"/>
    <w:rsid w:val="00090F7C"/>
    <w:rsid w:val="00090FA0"/>
    <w:rsid w:val="00092603"/>
    <w:rsid w:val="00092811"/>
    <w:rsid w:val="00092FBC"/>
    <w:rsid w:val="000938D0"/>
    <w:rsid w:val="0009414D"/>
    <w:rsid w:val="0009425F"/>
    <w:rsid w:val="0009485A"/>
    <w:rsid w:val="00094B5A"/>
    <w:rsid w:val="0009608A"/>
    <w:rsid w:val="0009616F"/>
    <w:rsid w:val="00096374"/>
    <w:rsid w:val="00096507"/>
    <w:rsid w:val="000972D0"/>
    <w:rsid w:val="000973B5"/>
    <w:rsid w:val="000A066A"/>
    <w:rsid w:val="000A0789"/>
    <w:rsid w:val="000A0941"/>
    <w:rsid w:val="000A0CFD"/>
    <w:rsid w:val="000A0E04"/>
    <w:rsid w:val="000A0E68"/>
    <w:rsid w:val="000A1778"/>
    <w:rsid w:val="000A1A81"/>
    <w:rsid w:val="000A1BF7"/>
    <w:rsid w:val="000A2106"/>
    <w:rsid w:val="000A24C9"/>
    <w:rsid w:val="000A2819"/>
    <w:rsid w:val="000A3BBE"/>
    <w:rsid w:val="000A45F5"/>
    <w:rsid w:val="000A46F0"/>
    <w:rsid w:val="000A4C30"/>
    <w:rsid w:val="000A4DE1"/>
    <w:rsid w:val="000A5930"/>
    <w:rsid w:val="000A6201"/>
    <w:rsid w:val="000A66AD"/>
    <w:rsid w:val="000A677D"/>
    <w:rsid w:val="000A7296"/>
    <w:rsid w:val="000A7456"/>
    <w:rsid w:val="000A74B6"/>
    <w:rsid w:val="000A79F5"/>
    <w:rsid w:val="000B0025"/>
    <w:rsid w:val="000B0811"/>
    <w:rsid w:val="000B11E3"/>
    <w:rsid w:val="000B145D"/>
    <w:rsid w:val="000B16AB"/>
    <w:rsid w:val="000B1869"/>
    <w:rsid w:val="000B1E14"/>
    <w:rsid w:val="000B29A4"/>
    <w:rsid w:val="000B2F88"/>
    <w:rsid w:val="000B33F1"/>
    <w:rsid w:val="000B3718"/>
    <w:rsid w:val="000B3A0A"/>
    <w:rsid w:val="000B3A9F"/>
    <w:rsid w:val="000B3D0D"/>
    <w:rsid w:val="000B4B66"/>
    <w:rsid w:val="000B578F"/>
    <w:rsid w:val="000B591F"/>
    <w:rsid w:val="000B5EF7"/>
    <w:rsid w:val="000B6625"/>
    <w:rsid w:val="000B6A83"/>
    <w:rsid w:val="000B6BE6"/>
    <w:rsid w:val="000B6DC5"/>
    <w:rsid w:val="000B6F0E"/>
    <w:rsid w:val="000B7293"/>
    <w:rsid w:val="000B7850"/>
    <w:rsid w:val="000B79D3"/>
    <w:rsid w:val="000C0164"/>
    <w:rsid w:val="000C05CA"/>
    <w:rsid w:val="000C06A9"/>
    <w:rsid w:val="000C0B53"/>
    <w:rsid w:val="000C1CF9"/>
    <w:rsid w:val="000C2134"/>
    <w:rsid w:val="000C2194"/>
    <w:rsid w:val="000C298F"/>
    <w:rsid w:val="000C2A81"/>
    <w:rsid w:val="000C3048"/>
    <w:rsid w:val="000C35C1"/>
    <w:rsid w:val="000C37C9"/>
    <w:rsid w:val="000C387A"/>
    <w:rsid w:val="000C3885"/>
    <w:rsid w:val="000C3D6E"/>
    <w:rsid w:val="000C3E52"/>
    <w:rsid w:val="000C3F66"/>
    <w:rsid w:val="000C4024"/>
    <w:rsid w:val="000C4157"/>
    <w:rsid w:val="000C42EE"/>
    <w:rsid w:val="000C4358"/>
    <w:rsid w:val="000C4ED3"/>
    <w:rsid w:val="000C4FAC"/>
    <w:rsid w:val="000C543C"/>
    <w:rsid w:val="000C5ACB"/>
    <w:rsid w:val="000C5E0C"/>
    <w:rsid w:val="000C5EFA"/>
    <w:rsid w:val="000C6727"/>
    <w:rsid w:val="000C6CC1"/>
    <w:rsid w:val="000C7167"/>
    <w:rsid w:val="000C7CA4"/>
    <w:rsid w:val="000D0238"/>
    <w:rsid w:val="000D02D5"/>
    <w:rsid w:val="000D0D36"/>
    <w:rsid w:val="000D1B9B"/>
    <w:rsid w:val="000D1DF6"/>
    <w:rsid w:val="000D236C"/>
    <w:rsid w:val="000D2B7E"/>
    <w:rsid w:val="000D2C92"/>
    <w:rsid w:val="000D3250"/>
    <w:rsid w:val="000D353F"/>
    <w:rsid w:val="000D368E"/>
    <w:rsid w:val="000D37A3"/>
    <w:rsid w:val="000D3CF1"/>
    <w:rsid w:val="000D4002"/>
    <w:rsid w:val="000D4657"/>
    <w:rsid w:val="000D478E"/>
    <w:rsid w:val="000D4B78"/>
    <w:rsid w:val="000D5320"/>
    <w:rsid w:val="000D54F1"/>
    <w:rsid w:val="000D5E66"/>
    <w:rsid w:val="000D5F56"/>
    <w:rsid w:val="000D6A04"/>
    <w:rsid w:val="000D7357"/>
    <w:rsid w:val="000D7A8B"/>
    <w:rsid w:val="000E0A44"/>
    <w:rsid w:val="000E0C24"/>
    <w:rsid w:val="000E0D3A"/>
    <w:rsid w:val="000E170B"/>
    <w:rsid w:val="000E18AC"/>
    <w:rsid w:val="000E1E7B"/>
    <w:rsid w:val="000E1EA3"/>
    <w:rsid w:val="000E2AEF"/>
    <w:rsid w:val="000E3B78"/>
    <w:rsid w:val="000E42D8"/>
    <w:rsid w:val="000E509A"/>
    <w:rsid w:val="000E5CF7"/>
    <w:rsid w:val="000E5D5B"/>
    <w:rsid w:val="000E5F23"/>
    <w:rsid w:val="000E5F71"/>
    <w:rsid w:val="000E6227"/>
    <w:rsid w:val="000E629F"/>
    <w:rsid w:val="000E665A"/>
    <w:rsid w:val="000E667F"/>
    <w:rsid w:val="000E700A"/>
    <w:rsid w:val="000E7184"/>
    <w:rsid w:val="000F033D"/>
    <w:rsid w:val="000F08ED"/>
    <w:rsid w:val="000F0DC4"/>
    <w:rsid w:val="000F1578"/>
    <w:rsid w:val="000F1928"/>
    <w:rsid w:val="000F230B"/>
    <w:rsid w:val="000F305B"/>
    <w:rsid w:val="000F361D"/>
    <w:rsid w:val="000F384E"/>
    <w:rsid w:val="000F3D5B"/>
    <w:rsid w:val="000F4279"/>
    <w:rsid w:val="000F4437"/>
    <w:rsid w:val="000F491B"/>
    <w:rsid w:val="000F4F93"/>
    <w:rsid w:val="000F656E"/>
    <w:rsid w:val="000F6664"/>
    <w:rsid w:val="000F6822"/>
    <w:rsid w:val="000F6DD7"/>
    <w:rsid w:val="000F76D6"/>
    <w:rsid w:val="000F7723"/>
    <w:rsid w:val="001001D2"/>
    <w:rsid w:val="0010062D"/>
    <w:rsid w:val="00100857"/>
    <w:rsid w:val="001008EE"/>
    <w:rsid w:val="00100D75"/>
    <w:rsid w:val="001018A3"/>
    <w:rsid w:val="00101BCE"/>
    <w:rsid w:val="00101DC3"/>
    <w:rsid w:val="00102257"/>
    <w:rsid w:val="001023F3"/>
    <w:rsid w:val="00102692"/>
    <w:rsid w:val="00102871"/>
    <w:rsid w:val="001032FA"/>
    <w:rsid w:val="0010393B"/>
    <w:rsid w:val="00103D4D"/>
    <w:rsid w:val="00104349"/>
    <w:rsid w:val="00104C5F"/>
    <w:rsid w:val="00104D83"/>
    <w:rsid w:val="00105030"/>
    <w:rsid w:val="001053E5"/>
    <w:rsid w:val="00105700"/>
    <w:rsid w:val="00105CF5"/>
    <w:rsid w:val="001069FF"/>
    <w:rsid w:val="0010736A"/>
    <w:rsid w:val="00107688"/>
    <w:rsid w:val="00107719"/>
    <w:rsid w:val="0010795B"/>
    <w:rsid w:val="00110120"/>
    <w:rsid w:val="0011156E"/>
    <w:rsid w:val="00112503"/>
    <w:rsid w:val="0011355F"/>
    <w:rsid w:val="00113854"/>
    <w:rsid w:val="001139D5"/>
    <w:rsid w:val="00113EC4"/>
    <w:rsid w:val="00114187"/>
    <w:rsid w:val="001147F0"/>
    <w:rsid w:val="00114BC7"/>
    <w:rsid w:val="00114BCA"/>
    <w:rsid w:val="00115881"/>
    <w:rsid w:val="00116543"/>
    <w:rsid w:val="00116D33"/>
    <w:rsid w:val="00116EC0"/>
    <w:rsid w:val="001173AA"/>
    <w:rsid w:val="00117A65"/>
    <w:rsid w:val="00117DAB"/>
    <w:rsid w:val="00117F45"/>
    <w:rsid w:val="00120364"/>
    <w:rsid w:val="00120675"/>
    <w:rsid w:val="00120899"/>
    <w:rsid w:val="001208C8"/>
    <w:rsid w:val="001208E8"/>
    <w:rsid w:val="001210AF"/>
    <w:rsid w:val="00121216"/>
    <w:rsid w:val="00122021"/>
    <w:rsid w:val="001223BD"/>
    <w:rsid w:val="0012340F"/>
    <w:rsid w:val="00123723"/>
    <w:rsid w:val="00123A43"/>
    <w:rsid w:val="00123F9B"/>
    <w:rsid w:val="001240CB"/>
    <w:rsid w:val="001242EB"/>
    <w:rsid w:val="00124654"/>
    <w:rsid w:val="0012484A"/>
    <w:rsid w:val="00124860"/>
    <w:rsid w:val="00124861"/>
    <w:rsid w:val="001249DD"/>
    <w:rsid w:val="00124B89"/>
    <w:rsid w:val="0012515C"/>
    <w:rsid w:val="00125B4D"/>
    <w:rsid w:val="001260ED"/>
    <w:rsid w:val="00126C63"/>
    <w:rsid w:val="00126E46"/>
    <w:rsid w:val="00127530"/>
    <w:rsid w:val="001275F1"/>
    <w:rsid w:val="00127A17"/>
    <w:rsid w:val="00130909"/>
    <w:rsid w:val="001309A3"/>
    <w:rsid w:val="00130C5E"/>
    <w:rsid w:val="00131308"/>
    <w:rsid w:val="00131F96"/>
    <w:rsid w:val="00132434"/>
    <w:rsid w:val="00132486"/>
    <w:rsid w:val="001326FF"/>
    <w:rsid w:val="00132816"/>
    <w:rsid w:val="0013293A"/>
    <w:rsid w:val="00132F13"/>
    <w:rsid w:val="001334E4"/>
    <w:rsid w:val="00133D06"/>
    <w:rsid w:val="00134242"/>
    <w:rsid w:val="00134AD4"/>
    <w:rsid w:val="00134B3A"/>
    <w:rsid w:val="00134C66"/>
    <w:rsid w:val="00134F82"/>
    <w:rsid w:val="00136302"/>
    <w:rsid w:val="0013645D"/>
    <w:rsid w:val="00136BC4"/>
    <w:rsid w:val="00136CE4"/>
    <w:rsid w:val="001379C0"/>
    <w:rsid w:val="00137CAA"/>
    <w:rsid w:val="0014094D"/>
    <w:rsid w:val="00140DD2"/>
    <w:rsid w:val="00140EC3"/>
    <w:rsid w:val="001412ED"/>
    <w:rsid w:val="0014203E"/>
    <w:rsid w:val="00142565"/>
    <w:rsid w:val="0014389B"/>
    <w:rsid w:val="00143CD5"/>
    <w:rsid w:val="00143ECA"/>
    <w:rsid w:val="00145FFF"/>
    <w:rsid w:val="00146711"/>
    <w:rsid w:val="00146BD0"/>
    <w:rsid w:val="001473AA"/>
    <w:rsid w:val="001478B4"/>
    <w:rsid w:val="00147A65"/>
    <w:rsid w:val="00147BDB"/>
    <w:rsid w:val="00147E3A"/>
    <w:rsid w:val="00147F5A"/>
    <w:rsid w:val="00150BB3"/>
    <w:rsid w:val="00150F50"/>
    <w:rsid w:val="00151603"/>
    <w:rsid w:val="00151B1D"/>
    <w:rsid w:val="0015231C"/>
    <w:rsid w:val="001523E6"/>
    <w:rsid w:val="001525B4"/>
    <w:rsid w:val="00152A4B"/>
    <w:rsid w:val="001531BE"/>
    <w:rsid w:val="001536BE"/>
    <w:rsid w:val="00153F32"/>
    <w:rsid w:val="00154330"/>
    <w:rsid w:val="0015486F"/>
    <w:rsid w:val="00154B51"/>
    <w:rsid w:val="00154B90"/>
    <w:rsid w:val="00155512"/>
    <w:rsid w:val="00155A93"/>
    <w:rsid w:val="00155CEF"/>
    <w:rsid w:val="00155F26"/>
    <w:rsid w:val="00155F7A"/>
    <w:rsid w:val="001574CE"/>
    <w:rsid w:val="00157ABF"/>
    <w:rsid w:val="001607DB"/>
    <w:rsid w:val="00160A2D"/>
    <w:rsid w:val="00160E42"/>
    <w:rsid w:val="00161E38"/>
    <w:rsid w:val="00162482"/>
    <w:rsid w:val="00162854"/>
    <w:rsid w:val="00162A15"/>
    <w:rsid w:val="00162AC5"/>
    <w:rsid w:val="00162BD7"/>
    <w:rsid w:val="00162EF8"/>
    <w:rsid w:val="00163252"/>
    <w:rsid w:val="00163C59"/>
    <w:rsid w:val="0016412A"/>
    <w:rsid w:val="001641E8"/>
    <w:rsid w:val="00164445"/>
    <w:rsid w:val="001645A9"/>
    <w:rsid w:val="00164AD6"/>
    <w:rsid w:val="00164F98"/>
    <w:rsid w:val="00165619"/>
    <w:rsid w:val="00165C34"/>
    <w:rsid w:val="00165CB8"/>
    <w:rsid w:val="00166370"/>
    <w:rsid w:val="001672A5"/>
    <w:rsid w:val="0016738F"/>
    <w:rsid w:val="001673CD"/>
    <w:rsid w:val="00167C54"/>
    <w:rsid w:val="00170023"/>
    <w:rsid w:val="00170229"/>
    <w:rsid w:val="001703F4"/>
    <w:rsid w:val="00170900"/>
    <w:rsid w:val="00170AE3"/>
    <w:rsid w:val="00170B85"/>
    <w:rsid w:val="00171C7D"/>
    <w:rsid w:val="00172802"/>
    <w:rsid w:val="001728AA"/>
    <w:rsid w:val="00173A54"/>
    <w:rsid w:val="00173C77"/>
    <w:rsid w:val="001742CD"/>
    <w:rsid w:val="00175680"/>
    <w:rsid w:val="00176243"/>
    <w:rsid w:val="00177378"/>
    <w:rsid w:val="00177DE5"/>
    <w:rsid w:val="00177E0D"/>
    <w:rsid w:val="00180940"/>
    <w:rsid w:val="00180D45"/>
    <w:rsid w:val="001816A6"/>
    <w:rsid w:val="00181942"/>
    <w:rsid w:val="0018195F"/>
    <w:rsid w:val="00181E39"/>
    <w:rsid w:val="00182457"/>
    <w:rsid w:val="0018268D"/>
    <w:rsid w:val="00183011"/>
    <w:rsid w:val="0018340D"/>
    <w:rsid w:val="00183A2A"/>
    <w:rsid w:val="001840B7"/>
    <w:rsid w:val="00184373"/>
    <w:rsid w:val="001845B9"/>
    <w:rsid w:val="00184994"/>
    <w:rsid w:val="00184F01"/>
    <w:rsid w:val="00185035"/>
    <w:rsid w:val="0018508A"/>
    <w:rsid w:val="001851C6"/>
    <w:rsid w:val="001851FC"/>
    <w:rsid w:val="001872DD"/>
    <w:rsid w:val="001901B0"/>
    <w:rsid w:val="001905D1"/>
    <w:rsid w:val="00190779"/>
    <w:rsid w:val="00190AF6"/>
    <w:rsid w:val="001914BB"/>
    <w:rsid w:val="0019181D"/>
    <w:rsid w:val="00191E6F"/>
    <w:rsid w:val="001924A2"/>
    <w:rsid w:val="00192627"/>
    <w:rsid w:val="00193315"/>
    <w:rsid w:val="001935D1"/>
    <w:rsid w:val="0019390C"/>
    <w:rsid w:val="001947BE"/>
    <w:rsid w:val="00194EEC"/>
    <w:rsid w:val="001953D6"/>
    <w:rsid w:val="001958E0"/>
    <w:rsid w:val="001969D0"/>
    <w:rsid w:val="00196A85"/>
    <w:rsid w:val="00196DDC"/>
    <w:rsid w:val="00197726"/>
    <w:rsid w:val="00197A19"/>
    <w:rsid w:val="00197E0B"/>
    <w:rsid w:val="001A039B"/>
    <w:rsid w:val="001A0699"/>
    <w:rsid w:val="001A0B95"/>
    <w:rsid w:val="001A0BA6"/>
    <w:rsid w:val="001A13C6"/>
    <w:rsid w:val="001A153C"/>
    <w:rsid w:val="001A1655"/>
    <w:rsid w:val="001A1837"/>
    <w:rsid w:val="001A1ABA"/>
    <w:rsid w:val="001A1CFC"/>
    <w:rsid w:val="001A21C1"/>
    <w:rsid w:val="001A2E13"/>
    <w:rsid w:val="001A320F"/>
    <w:rsid w:val="001A3C68"/>
    <w:rsid w:val="001A3CDA"/>
    <w:rsid w:val="001A3E80"/>
    <w:rsid w:val="001A3FF8"/>
    <w:rsid w:val="001A42E8"/>
    <w:rsid w:val="001A439D"/>
    <w:rsid w:val="001A43BA"/>
    <w:rsid w:val="001A53DF"/>
    <w:rsid w:val="001A5A93"/>
    <w:rsid w:val="001A6509"/>
    <w:rsid w:val="001A6571"/>
    <w:rsid w:val="001A6D78"/>
    <w:rsid w:val="001A6F15"/>
    <w:rsid w:val="001A74C4"/>
    <w:rsid w:val="001A75B2"/>
    <w:rsid w:val="001A77FA"/>
    <w:rsid w:val="001A79D0"/>
    <w:rsid w:val="001B1075"/>
    <w:rsid w:val="001B112B"/>
    <w:rsid w:val="001B22A7"/>
    <w:rsid w:val="001B2F45"/>
    <w:rsid w:val="001B3092"/>
    <w:rsid w:val="001B367A"/>
    <w:rsid w:val="001B36CA"/>
    <w:rsid w:val="001B3D78"/>
    <w:rsid w:val="001B40F7"/>
    <w:rsid w:val="001B4912"/>
    <w:rsid w:val="001B4FEA"/>
    <w:rsid w:val="001B5977"/>
    <w:rsid w:val="001B6978"/>
    <w:rsid w:val="001B6A3A"/>
    <w:rsid w:val="001B71C9"/>
    <w:rsid w:val="001B768F"/>
    <w:rsid w:val="001B7B88"/>
    <w:rsid w:val="001B7D12"/>
    <w:rsid w:val="001C02D1"/>
    <w:rsid w:val="001C0848"/>
    <w:rsid w:val="001C0CC9"/>
    <w:rsid w:val="001C0F8B"/>
    <w:rsid w:val="001C14E8"/>
    <w:rsid w:val="001C1BD8"/>
    <w:rsid w:val="001C1C02"/>
    <w:rsid w:val="001C1F0C"/>
    <w:rsid w:val="001C20A0"/>
    <w:rsid w:val="001C20BA"/>
    <w:rsid w:val="001C229E"/>
    <w:rsid w:val="001C2567"/>
    <w:rsid w:val="001C2BA8"/>
    <w:rsid w:val="001C35EF"/>
    <w:rsid w:val="001C3C73"/>
    <w:rsid w:val="001C3D53"/>
    <w:rsid w:val="001C43F2"/>
    <w:rsid w:val="001C4AC5"/>
    <w:rsid w:val="001C4FB8"/>
    <w:rsid w:val="001C70FD"/>
    <w:rsid w:val="001C726C"/>
    <w:rsid w:val="001C74D2"/>
    <w:rsid w:val="001C777B"/>
    <w:rsid w:val="001C7A5E"/>
    <w:rsid w:val="001D1647"/>
    <w:rsid w:val="001D1C09"/>
    <w:rsid w:val="001D2025"/>
    <w:rsid w:val="001D27A7"/>
    <w:rsid w:val="001D303A"/>
    <w:rsid w:val="001D369A"/>
    <w:rsid w:val="001D37D0"/>
    <w:rsid w:val="001D39D2"/>
    <w:rsid w:val="001D5179"/>
    <w:rsid w:val="001D5C2A"/>
    <w:rsid w:val="001D5E67"/>
    <w:rsid w:val="001D62F7"/>
    <w:rsid w:val="001D6917"/>
    <w:rsid w:val="001D6D30"/>
    <w:rsid w:val="001D7365"/>
    <w:rsid w:val="001D7813"/>
    <w:rsid w:val="001D78CF"/>
    <w:rsid w:val="001D7BAA"/>
    <w:rsid w:val="001E0373"/>
    <w:rsid w:val="001E0D6D"/>
    <w:rsid w:val="001E0E34"/>
    <w:rsid w:val="001E0FB3"/>
    <w:rsid w:val="001E13A3"/>
    <w:rsid w:val="001E13BA"/>
    <w:rsid w:val="001E1AA0"/>
    <w:rsid w:val="001E1CFC"/>
    <w:rsid w:val="001E2271"/>
    <w:rsid w:val="001E2C8C"/>
    <w:rsid w:val="001E33BA"/>
    <w:rsid w:val="001E36E5"/>
    <w:rsid w:val="001E397B"/>
    <w:rsid w:val="001E449C"/>
    <w:rsid w:val="001E44EF"/>
    <w:rsid w:val="001E500F"/>
    <w:rsid w:val="001E5B92"/>
    <w:rsid w:val="001E64F9"/>
    <w:rsid w:val="001E6F7B"/>
    <w:rsid w:val="001E7861"/>
    <w:rsid w:val="001E78F0"/>
    <w:rsid w:val="001F006A"/>
    <w:rsid w:val="001F08B4"/>
    <w:rsid w:val="001F1624"/>
    <w:rsid w:val="001F1E19"/>
    <w:rsid w:val="001F1F40"/>
    <w:rsid w:val="001F2005"/>
    <w:rsid w:val="001F224C"/>
    <w:rsid w:val="001F24BF"/>
    <w:rsid w:val="001F2725"/>
    <w:rsid w:val="001F2F77"/>
    <w:rsid w:val="001F2F92"/>
    <w:rsid w:val="001F32A1"/>
    <w:rsid w:val="001F3A6B"/>
    <w:rsid w:val="001F430A"/>
    <w:rsid w:val="001F4AF5"/>
    <w:rsid w:val="001F5494"/>
    <w:rsid w:val="001F58CB"/>
    <w:rsid w:val="001F615B"/>
    <w:rsid w:val="001F6A7A"/>
    <w:rsid w:val="001F6B37"/>
    <w:rsid w:val="001F7087"/>
    <w:rsid w:val="001F713C"/>
    <w:rsid w:val="001F71E3"/>
    <w:rsid w:val="001F7200"/>
    <w:rsid w:val="001F72F8"/>
    <w:rsid w:val="001F733F"/>
    <w:rsid w:val="001F79B3"/>
    <w:rsid w:val="001F7DE8"/>
    <w:rsid w:val="002002D7"/>
    <w:rsid w:val="00200F71"/>
    <w:rsid w:val="00201386"/>
    <w:rsid w:val="0020150E"/>
    <w:rsid w:val="00201521"/>
    <w:rsid w:val="002015EF"/>
    <w:rsid w:val="0020175B"/>
    <w:rsid w:val="00201956"/>
    <w:rsid w:val="00201EAE"/>
    <w:rsid w:val="00201F6D"/>
    <w:rsid w:val="00202013"/>
    <w:rsid w:val="0020230B"/>
    <w:rsid w:val="0020310D"/>
    <w:rsid w:val="00203656"/>
    <w:rsid w:val="00203774"/>
    <w:rsid w:val="00204167"/>
    <w:rsid w:val="002046E1"/>
    <w:rsid w:val="00204C9A"/>
    <w:rsid w:val="0020613F"/>
    <w:rsid w:val="002065F8"/>
    <w:rsid w:val="0020737A"/>
    <w:rsid w:val="002076C6"/>
    <w:rsid w:val="00207E65"/>
    <w:rsid w:val="002101E0"/>
    <w:rsid w:val="00210273"/>
    <w:rsid w:val="0021062F"/>
    <w:rsid w:val="00210A72"/>
    <w:rsid w:val="00210B86"/>
    <w:rsid w:val="00210D43"/>
    <w:rsid w:val="002111F5"/>
    <w:rsid w:val="00211D54"/>
    <w:rsid w:val="00211EAD"/>
    <w:rsid w:val="00212C05"/>
    <w:rsid w:val="00212D44"/>
    <w:rsid w:val="00213EDB"/>
    <w:rsid w:val="00214324"/>
    <w:rsid w:val="002144E7"/>
    <w:rsid w:val="00214C13"/>
    <w:rsid w:val="00215003"/>
    <w:rsid w:val="00215120"/>
    <w:rsid w:val="0021524F"/>
    <w:rsid w:val="002154FF"/>
    <w:rsid w:val="00215832"/>
    <w:rsid w:val="00215FAF"/>
    <w:rsid w:val="00216163"/>
    <w:rsid w:val="002166E9"/>
    <w:rsid w:val="00216CDE"/>
    <w:rsid w:val="00217350"/>
    <w:rsid w:val="00217986"/>
    <w:rsid w:val="0022027A"/>
    <w:rsid w:val="0022100F"/>
    <w:rsid w:val="002213B4"/>
    <w:rsid w:val="0022156D"/>
    <w:rsid w:val="0022167A"/>
    <w:rsid w:val="00221979"/>
    <w:rsid w:val="00221E3E"/>
    <w:rsid w:val="002221FF"/>
    <w:rsid w:val="00222507"/>
    <w:rsid w:val="0022306C"/>
    <w:rsid w:val="00223119"/>
    <w:rsid w:val="0022379D"/>
    <w:rsid w:val="00223A24"/>
    <w:rsid w:val="00223E43"/>
    <w:rsid w:val="00223FAE"/>
    <w:rsid w:val="0022400D"/>
    <w:rsid w:val="00224723"/>
    <w:rsid w:val="00224997"/>
    <w:rsid w:val="0022518E"/>
    <w:rsid w:val="002254A5"/>
    <w:rsid w:val="0022595D"/>
    <w:rsid w:val="00226577"/>
    <w:rsid w:val="002266EA"/>
    <w:rsid w:val="00226994"/>
    <w:rsid w:val="00226AE1"/>
    <w:rsid w:val="00226FC6"/>
    <w:rsid w:val="002273E8"/>
    <w:rsid w:val="00227923"/>
    <w:rsid w:val="0023038B"/>
    <w:rsid w:val="00230AFA"/>
    <w:rsid w:val="00230B2D"/>
    <w:rsid w:val="00230BEC"/>
    <w:rsid w:val="00230D07"/>
    <w:rsid w:val="00231717"/>
    <w:rsid w:val="0023180B"/>
    <w:rsid w:val="00231E86"/>
    <w:rsid w:val="00232B33"/>
    <w:rsid w:val="002333C9"/>
    <w:rsid w:val="0023360D"/>
    <w:rsid w:val="00233AFA"/>
    <w:rsid w:val="00234457"/>
    <w:rsid w:val="00234970"/>
    <w:rsid w:val="00235402"/>
    <w:rsid w:val="0023555B"/>
    <w:rsid w:val="00236316"/>
    <w:rsid w:val="002366A2"/>
    <w:rsid w:val="00236726"/>
    <w:rsid w:val="00236F43"/>
    <w:rsid w:val="00237B7E"/>
    <w:rsid w:val="002401F3"/>
    <w:rsid w:val="00240218"/>
    <w:rsid w:val="0024039E"/>
    <w:rsid w:val="00240840"/>
    <w:rsid w:val="002408E1"/>
    <w:rsid w:val="00240991"/>
    <w:rsid w:val="00240AC8"/>
    <w:rsid w:val="00240AFA"/>
    <w:rsid w:val="00241595"/>
    <w:rsid w:val="00241623"/>
    <w:rsid w:val="0024170A"/>
    <w:rsid w:val="002417F8"/>
    <w:rsid w:val="0024199C"/>
    <w:rsid w:val="00241E29"/>
    <w:rsid w:val="00242109"/>
    <w:rsid w:val="00243397"/>
    <w:rsid w:val="00244339"/>
    <w:rsid w:val="0024473C"/>
    <w:rsid w:val="0024529D"/>
    <w:rsid w:val="0024660B"/>
    <w:rsid w:val="00246EE3"/>
    <w:rsid w:val="00247110"/>
    <w:rsid w:val="00247347"/>
    <w:rsid w:val="00247883"/>
    <w:rsid w:val="002503D1"/>
    <w:rsid w:val="00250473"/>
    <w:rsid w:val="00250A94"/>
    <w:rsid w:val="00250EFB"/>
    <w:rsid w:val="00251326"/>
    <w:rsid w:val="00251C3A"/>
    <w:rsid w:val="0025220B"/>
    <w:rsid w:val="00252D9F"/>
    <w:rsid w:val="00252EF8"/>
    <w:rsid w:val="00253029"/>
    <w:rsid w:val="00254577"/>
    <w:rsid w:val="00254903"/>
    <w:rsid w:val="00255557"/>
    <w:rsid w:val="0025559B"/>
    <w:rsid w:val="002557B8"/>
    <w:rsid w:val="002558CD"/>
    <w:rsid w:val="00255A74"/>
    <w:rsid w:val="00255E2C"/>
    <w:rsid w:val="002564EE"/>
    <w:rsid w:val="002567B3"/>
    <w:rsid w:val="00256953"/>
    <w:rsid w:val="00256964"/>
    <w:rsid w:val="00256B8F"/>
    <w:rsid w:val="00256CF3"/>
    <w:rsid w:val="0026040D"/>
    <w:rsid w:val="00260AE6"/>
    <w:rsid w:val="00260D05"/>
    <w:rsid w:val="00260F58"/>
    <w:rsid w:val="00261534"/>
    <w:rsid w:val="00262264"/>
    <w:rsid w:val="00262685"/>
    <w:rsid w:val="0026274D"/>
    <w:rsid w:val="0026438A"/>
    <w:rsid w:val="0026476F"/>
    <w:rsid w:val="00264E51"/>
    <w:rsid w:val="00266088"/>
    <w:rsid w:val="002664B7"/>
    <w:rsid w:val="002664C3"/>
    <w:rsid w:val="002665AB"/>
    <w:rsid w:val="00267133"/>
    <w:rsid w:val="00267192"/>
    <w:rsid w:val="0026746C"/>
    <w:rsid w:val="00267E9F"/>
    <w:rsid w:val="00267F7F"/>
    <w:rsid w:val="002700AF"/>
    <w:rsid w:val="002700D8"/>
    <w:rsid w:val="002702BE"/>
    <w:rsid w:val="00270765"/>
    <w:rsid w:val="00270969"/>
    <w:rsid w:val="00270D6F"/>
    <w:rsid w:val="00271B4A"/>
    <w:rsid w:val="00271B98"/>
    <w:rsid w:val="00272C86"/>
    <w:rsid w:val="00273FEB"/>
    <w:rsid w:val="002740AA"/>
    <w:rsid w:val="00274731"/>
    <w:rsid w:val="00274CA5"/>
    <w:rsid w:val="00274F43"/>
    <w:rsid w:val="002755B4"/>
    <w:rsid w:val="00275601"/>
    <w:rsid w:val="002762E3"/>
    <w:rsid w:val="002779EA"/>
    <w:rsid w:val="00277F7E"/>
    <w:rsid w:val="0028023E"/>
    <w:rsid w:val="0028027B"/>
    <w:rsid w:val="00280C46"/>
    <w:rsid w:val="00280CED"/>
    <w:rsid w:val="00280DF1"/>
    <w:rsid w:val="00280DFB"/>
    <w:rsid w:val="00281F1A"/>
    <w:rsid w:val="002823DA"/>
    <w:rsid w:val="0028284E"/>
    <w:rsid w:val="00282976"/>
    <w:rsid w:val="00282CF5"/>
    <w:rsid w:val="0028384A"/>
    <w:rsid w:val="002844E9"/>
    <w:rsid w:val="002845A6"/>
    <w:rsid w:val="00284725"/>
    <w:rsid w:val="002852F0"/>
    <w:rsid w:val="002854E2"/>
    <w:rsid w:val="00285515"/>
    <w:rsid w:val="00285F2A"/>
    <w:rsid w:val="00285F7C"/>
    <w:rsid w:val="002862E9"/>
    <w:rsid w:val="002862EB"/>
    <w:rsid w:val="0028631C"/>
    <w:rsid w:val="002905E3"/>
    <w:rsid w:val="00290C7B"/>
    <w:rsid w:val="002912CD"/>
    <w:rsid w:val="002914C1"/>
    <w:rsid w:val="002915AD"/>
    <w:rsid w:val="00291810"/>
    <w:rsid w:val="00291A0B"/>
    <w:rsid w:val="00291A3C"/>
    <w:rsid w:val="00291AD6"/>
    <w:rsid w:val="00292328"/>
    <w:rsid w:val="002927E9"/>
    <w:rsid w:val="00292B51"/>
    <w:rsid w:val="00292E26"/>
    <w:rsid w:val="00292EDC"/>
    <w:rsid w:val="002931C3"/>
    <w:rsid w:val="002932AA"/>
    <w:rsid w:val="00293B3B"/>
    <w:rsid w:val="00294093"/>
    <w:rsid w:val="00294719"/>
    <w:rsid w:val="00294C55"/>
    <w:rsid w:val="00294D51"/>
    <w:rsid w:val="002950E0"/>
    <w:rsid w:val="002951D1"/>
    <w:rsid w:val="002954FC"/>
    <w:rsid w:val="0029572F"/>
    <w:rsid w:val="00295972"/>
    <w:rsid w:val="00295C0F"/>
    <w:rsid w:val="00297331"/>
    <w:rsid w:val="002973CC"/>
    <w:rsid w:val="002975A9"/>
    <w:rsid w:val="002975DF"/>
    <w:rsid w:val="00297736"/>
    <w:rsid w:val="002977DE"/>
    <w:rsid w:val="00297B5B"/>
    <w:rsid w:val="002A03EB"/>
    <w:rsid w:val="002A1093"/>
    <w:rsid w:val="002A1702"/>
    <w:rsid w:val="002A1B9E"/>
    <w:rsid w:val="002A1DA3"/>
    <w:rsid w:val="002A1DF8"/>
    <w:rsid w:val="002A1F89"/>
    <w:rsid w:val="002A27E7"/>
    <w:rsid w:val="002A2C42"/>
    <w:rsid w:val="002A37FE"/>
    <w:rsid w:val="002A3885"/>
    <w:rsid w:val="002A3FE8"/>
    <w:rsid w:val="002A410A"/>
    <w:rsid w:val="002A450D"/>
    <w:rsid w:val="002A5727"/>
    <w:rsid w:val="002A5E20"/>
    <w:rsid w:val="002A6612"/>
    <w:rsid w:val="002A69AC"/>
    <w:rsid w:val="002A732D"/>
    <w:rsid w:val="002A7755"/>
    <w:rsid w:val="002A79F4"/>
    <w:rsid w:val="002A7C4B"/>
    <w:rsid w:val="002A7EB4"/>
    <w:rsid w:val="002A7F64"/>
    <w:rsid w:val="002B08B5"/>
    <w:rsid w:val="002B0C75"/>
    <w:rsid w:val="002B10C6"/>
    <w:rsid w:val="002B1122"/>
    <w:rsid w:val="002B19D5"/>
    <w:rsid w:val="002B1CC2"/>
    <w:rsid w:val="002B2CF4"/>
    <w:rsid w:val="002B301E"/>
    <w:rsid w:val="002B30B0"/>
    <w:rsid w:val="002B330F"/>
    <w:rsid w:val="002B3465"/>
    <w:rsid w:val="002B508D"/>
    <w:rsid w:val="002B51E9"/>
    <w:rsid w:val="002B574B"/>
    <w:rsid w:val="002B581C"/>
    <w:rsid w:val="002B635D"/>
    <w:rsid w:val="002B6460"/>
    <w:rsid w:val="002B64C6"/>
    <w:rsid w:val="002B6A5E"/>
    <w:rsid w:val="002B6A7D"/>
    <w:rsid w:val="002B6C79"/>
    <w:rsid w:val="002B6C7A"/>
    <w:rsid w:val="002B71C5"/>
    <w:rsid w:val="002B7646"/>
    <w:rsid w:val="002B7888"/>
    <w:rsid w:val="002B7CCB"/>
    <w:rsid w:val="002B7CDE"/>
    <w:rsid w:val="002B7E52"/>
    <w:rsid w:val="002C0502"/>
    <w:rsid w:val="002C0543"/>
    <w:rsid w:val="002C0D36"/>
    <w:rsid w:val="002C0D58"/>
    <w:rsid w:val="002C0D97"/>
    <w:rsid w:val="002C1658"/>
    <w:rsid w:val="002C1CB4"/>
    <w:rsid w:val="002C207E"/>
    <w:rsid w:val="002C211E"/>
    <w:rsid w:val="002C21C2"/>
    <w:rsid w:val="002C2DC5"/>
    <w:rsid w:val="002C308D"/>
    <w:rsid w:val="002C3AEF"/>
    <w:rsid w:val="002C4076"/>
    <w:rsid w:val="002C444E"/>
    <w:rsid w:val="002C452D"/>
    <w:rsid w:val="002C57B2"/>
    <w:rsid w:val="002C5884"/>
    <w:rsid w:val="002C6058"/>
    <w:rsid w:val="002C6193"/>
    <w:rsid w:val="002C6D4B"/>
    <w:rsid w:val="002C7494"/>
    <w:rsid w:val="002C7C7E"/>
    <w:rsid w:val="002C7D11"/>
    <w:rsid w:val="002C7DC3"/>
    <w:rsid w:val="002D01D0"/>
    <w:rsid w:val="002D056A"/>
    <w:rsid w:val="002D1CB4"/>
    <w:rsid w:val="002D1F90"/>
    <w:rsid w:val="002D20E5"/>
    <w:rsid w:val="002D2638"/>
    <w:rsid w:val="002D2677"/>
    <w:rsid w:val="002D292A"/>
    <w:rsid w:val="002D2AD7"/>
    <w:rsid w:val="002D2EAE"/>
    <w:rsid w:val="002D3A38"/>
    <w:rsid w:val="002D3DA6"/>
    <w:rsid w:val="002D3FEE"/>
    <w:rsid w:val="002D4043"/>
    <w:rsid w:val="002D4A10"/>
    <w:rsid w:val="002D4D45"/>
    <w:rsid w:val="002D600D"/>
    <w:rsid w:val="002D6FE1"/>
    <w:rsid w:val="002D7738"/>
    <w:rsid w:val="002D776C"/>
    <w:rsid w:val="002E03D7"/>
    <w:rsid w:val="002E125B"/>
    <w:rsid w:val="002E178F"/>
    <w:rsid w:val="002E1A7D"/>
    <w:rsid w:val="002E20CB"/>
    <w:rsid w:val="002E21EE"/>
    <w:rsid w:val="002E227C"/>
    <w:rsid w:val="002E341D"/>
    <w:rsid w:val="002E3770"/>
    <w:rsid w:val="002E3AB3"/>
    <w:rsid w:val="002E4913"/>
    <w:rsid w:val="002E4F76"/>
    <w:rsid w:val="002E4FCA"/>
    <w:rsid w:val="002E55B7"/>
    <w:rsid w:val="002E61AE"/>
    <w:rsid w:val="002E6BBD"/>
    <w:rsid w:val="002E7607"/>
    <w:rsid w:val="002E7625"/>
    <w:rsid w:val="002E7891"/>
    <w:rsid w:val="002E7A5B"/>
    <w:rsid w:val="002E7BB6"/>
    <w:rsid w:val="002E7D47"/>
    <w:rsid w:val="002F0376"/>
    <w:rsid w:val="002F04C9"/>
    <w:rsid w:val="002F0680"/>
    <w:rsid w:val="002F070E"/>
    <w:rsid w:val="002F0C79"/>
    <w:rsid w:val="002F15C9"/>
    <w:rsid w:val="002F1ECE"/>
    <w:rsid w:val="002F2691"/>
    <w:rsid w:val="002F2BA5"/>
    <w:rsid w:val="002F3153"/>
    <w:rsid w:val="002F31DA"/>
    <w:rsid w:val="002F35D9"/>
    <w:rsid w:val="002F4258"/>
    <w:rsid w:val="002F5921"/>
    <w:rsid w:val="002F5953"/>
    <w:rsid w:val="002F5B8B"/>
    <w:rsid w:val="002F5DE8"/>
    <w:rsid w:val="002F6956"/>
    <w:rsid w:val="002F6DF0"/>
    <w:rsid w:val="002F6E85"/>
    <w:rsid w:val="002F6F79"/>
    <w:rsid w:val="002F7013"/>
    <w:rsid w:val="002F745E"/>
    <w:rsid w:val="002F7953"/>
    <w:rsid w:val="002F7C5F"/>
    <w:rsid w:val="003003C9"/>
    <w:rsid w:val="0030053F"/>
    <w:rsid w:val="0030089C"/>
    <w:rsid w:val="00300916"/>
    <w:rsid w:val="00300C22"/>
    <w:rsid w:val="00300E57"/>
    <w:rsid w:val="00301789"/>
    <w:rsid w:val="00301AE2"/>
    <w:rsid w:val="00302034"/>
    <w:rsid w:val="00302741"/>
    <w:rsid w:val="0030281A"/>
    <w:rsid w:val="003030C4"/>
    <w:rsid w:val="003036C7"/>
    <w:rsid w:val="003037E0"/>
    <w:rsid w:val="00303CE8"/>
    <w:rsid w:val="00303F3E"/>
    <w:rsid w:val="00305C20"/>
    <w:rsid w:val="00305E48"/>
    <w:rsid w:val="00307416"/>
    <w:rsid w:val="00307933"/>
    <w:rsid w:val="00307EC1"/>
    <w:rsid w:val="003106C4"/>
    <w:rsid w:val="00311234"/>
    <w:rsid w:val="0031137E"/>
    <w:rsid w:val="00311524"/>
    <w:rsid w:val="0031152C"/>
    <w:rsid w:val="00311543"/>
    <w:rsid w:val="00311AA5"/>
    <w:rsid w:val="00312054"/>
    <w:rsid w:val="00312AE4"/>
    <w:rsid w:val="003131FB"/>
    <w:rsid w:val="00313FA7"/>
    <w:rsid w:val="00315156"/>
    <w:rsid w:val="00316860"/>
    <w:rsid w:val="00317E71"/>
    <w:rsid w:val="00320FA1"/>
    <w:rsid w:val="0032200F"/>
    <w:rsid w:val="003223EF"/>
    <w:rsid w:val="0032284C"/>
    <w:rsid w:val="00322F8D"/>
    <w:rsid w:val="0032303D"/>
    <w:rsid w:val="00323284"/>
    <w:rsid w:val="00323868"/>
    <w:rsid w:val="00323EE6"/>
    <w:rsid w:val="00323F11"/>
    <w:rsid w:val="00324DDE"/>
    <w:rsid w:val="00324EA6"/>
    <w:rsid w:val="00325812"/>
    <w:rsid w:val="00325B89"/>
    <w:rsid w:val="00325CDD"/>
    <w:rsid w:val="00326A6B"/>
    <w:rsid w:val="00327989"/>
    <w:rsid w:val="00327BF7"/>
    <w:rsid w:val="00327FD4"/>
    <w:rsid w:val="003308FF"/>
    <w:rsid w:val="00330A44"/>
    <w:rsid w:val="00331FF7"/>
    <w:rsid w:val="00332138"/>
    <w:rsid w:val="003324D4"/>
    <w:rsid w:val="00332818"/>
    <w:rsid w:val="00332949"/>
    <w:rsid w:val="00332F9B"/>
    <w:rsid w:val="00333BB1"/>
    <w:rsid w:val="00335647"/>
    <w:rsid w:val="00335BE5"/>
    <w:rsid w:val="003362CD"/>
    <w:rsid w:val="00336A30"/>
    <w:rsid w:val="00336A3A"/>
    <w:rsid w:val="00336F1B"/>
    <w:rsid w:val="00337B07"/>
    <w:rsid w:val="00337E4D"/>
    <w:rsid w:val="00341938"/>
    <w:rsid w:val="00341CED"/>
    <w:rsid w:val="00342074"/>
    <w:rsid w:val="00342171"/>
    <w:rsid w:val="00342BC1"/>
    <w:rsid w:val="00342BF0"/>
    <w:rsid w:val="003436D7"/>
    <w:rsid w:val="00343AE4"/>
    <w:rsid w:val="0034403D"/>
    <w:rsid w:val="0034481D"/>
    <w:rsid w:val="0034585D"/>
    <w:rsid w:val="003458FB"/>
    <w:rsid w:val="00346BF6"/>
    <w:rsid w:val="00346D16"/>
    <w:rsid w:val="003471D3"/>
    <w:rsid w:val="00347377"/>
    <w:rsid w:val="003477B6"/>
    <w:rsid w:val="00347CA4"/>
    <w:rsid w:val="00347CC6"/>
    <w:rsid w:val="00350E25"/>
    <w:rsid w:val="00351126"/>
    <w:rsid w:val="003511FC"/>
    <w:rsid w:val="00351297"/>
    <w:rsid w:val="0035151D"/>
    <w:rsid w:val="00351530"/>
    <w:rsid w:val="00351A41"/>
    <w:rsid w:val="003532AB"/>
    <w:rsid w:val="0035394B"/>
    <w:rsid w:val="00353D59"/>
    <w:rsid w:val="003543BD"/>
    <w:rsid w:val="0035481C"/>
    <w:rsid w:val="0035516E"/>
    <w:rsid w:val="0035573C"/>
    <w:rsid w:val="0035598F"/>
    <w:rsid w:val="00356CFC"/>
    <w:rsid w:val="003574AD"/>
    <w:rsid w:val="00357B33"/>
    <w:rsid w:val="003601BD"/>
    <w:rsid w:val="0036027D"/>
    <w:rsid w:val="00360B41"/>
    <w:rsid w:val="00360BD1"/>
    <w:rsid w:val="003612E3"/>
    <w:rsid w:val="00361BD0"/>
    <w:rsid w:val="003621C0"/>
    <w:rsid w:val="003629D8"/>
    <w:rsid w:val="00362DDC"/>
    <w:rsid w:val="00362F02"/>
    <w:rsid w:val="0036305D"/>
    <w:rsid w:val="00363B32"/>
    <w:rsid w:val="00364036"/>
    <w:rsid w:val="00364423"/>
    <w:rsid w:val="0036472E"/>
    <w:rsid w:val="003652E3"/>
    <w:rsid w:val="003658C2"/>
    <w:rsid w:val="00365B3D"/>
    <w:rsid w:val="0036606B"/>
    <w:rsid w:val="003663CD"/>
    <w:rsid w:val="00366D3B"/>
    <w:rsid w:val="00366EAD"/>
    <w:rsid w:val="003678D1"/>
    <w:rsid w:val="00367A3A"/>
    <w:rsid w:val="00367E34"/>
    <w:rsid w:val="003705A5"/>
    <w:rsid w:val="0037069D"/>
    <w:rsid w:val="00370ECB"/>
    <w:rsid w:val="00370F9D"/>
    <w:rsid w:val="003712A7"/>
    <w:rsid w:val="00371A40"/>
    <w:rsid w:val="00371B31"/>
    <w:rsid w:val="00371F73"/>
    <w:rsid w:val="00372169"/>
    <w:rsid w:val="003724B4"/>
    <w:rsid w:val="0037295A"/>
    <w:rsid w:val="00373632"/>
    <w:rsid w:val="003737EC"/>
    <w:rsid w:val="003742AF"/>
    <w:rsid w:val="00374BEA"/>
    <w:rsid w:val="0037522E"/>
    <w:rsid w:val="0037539C"/>
    <w:rsid w:val="0037559B"/>
    <w:rsid w:val="00375C47"/>
    <w:rsid w:val="00375E46"/>
    <w:rsid w:val="003762F4"/>
    <w:rsid w:val="00376788"/>
    <w:rsid w:val="003767F0"/>
    <w:rsid w:val="00376A9C"/>
    <w:rsid w:val="003771E4"/>
    <w:rsid w:val="00377D4B"/>
    <w:rsid w:val="00377D6E"/>
    <w:rsid w:val="0038083F"/>
    <w:rsid w:val="003808DF"/>
    <w:rsid w:val="003809BA"/>
    <w:rsid w:val="00381491"/>
    <w:rsid w:val="00381D7B"/>
    <w:rsid w:val="00382C32"/>
    <w:rsid w:val="0038335C"/>
    <w:rsid w:val="00383B66"/>
    <w:rsid w:val="00384F98"/>
    <w:rsid w:val="003854A9"/>
    <w:rsid w:val="0038583A"/>
    <w:rsid w:val="0038591C"/>
    <w:rsid w:val="00385D03"/>
    <w:rsid w:val="003862F2"/>
    <w:rsid w:val="003864BE"/>
    <w:rsid w:val="00386DDA"/>
    <w:rsid w:val="00386EB4"/>
    <w:rsid w:val="0038711B"/>
    <w:rsid w:val="0038798C"/>
    <w:rsid w:val="00387DE4"/>
    <w:rsid w:val="0039058B"/>
    <w:rsid w:val="003907BE"/>
    <w:rsid w:val="00390D9E"/>
    <w:rsid w:val="00390DEC"/>
    <w:rsid w:val="00390F6A"/>
    <w:rsid w:val="00390FBE"/>
    <w:rsid w:val="00391358"/>
    <w:rsid w:val="003919C8"/>
    <w:rsid w:val="00392166"/>
    <w:rsid w:val="00392334"/>
    <w:rsid w:val="00392454"/>
    <w:rsid w:val="0039261E"/>
    <w:rsid w:val="003939D7"/>
    <w:rsid w:val="00393B01"/>
    <w:rsid w:val="00393D4F"/>
    <w:rsid w:val="00393E0D"/>
    <w:rsid w:val="003947BD"/>
    <w:rsid w:val="0039483E"/>
    <w:rsid w:val="00394EF4"/>
    <w:rsid w:val="00395161"/>
    <w:rsid w:val="003955B1"/>
    <w:rsid w:val="0039576C"/>
    <w:rsid w:val="00395E61"/>
    <w:rsid w:val="00395F54"/>
    <w:rsid w:val="003963A9"/>
    <w:rsid w:val="00396758"/>
    <w:rsid w:val="00396E54"/>
    <w:rsid w:val="00396F8F"/>
    <w:rsid w:val="00397CD2"/>
    <w:rsid w:val="003A0043"/>
    <w:rsid w:val="003A015F"/>
    <w:rsid w:val="003A07C2"/>
    <w:rsid w:val="003A0B29"/>
    <w:rsid w:val="003A1682"/>
    <w:rsid w:val="003A1A5F"/>
    <w:rsid w:val="003A1FAB"/>
    <w:rsid w:val="003A2AE5"/>
    <w:rsid w:val="003A30F7"/>
    <w:rsid w:val="003A36B3"/>
    <w:rsid w:val="003A382D"/>
    <w:rsid w:val="003A3E21"/>
    <w:rsid w:val="003A3E9B"/>
    <w:rsid w:val="003A5223"/>
    <w:rsid w:val="003A5C34"/>
    <w:rsid w:val="003A5F6A"/>
    <w:rsid w:val="003A645D"/>
    <w:rsid w:val="003A6828"/>
    <w:rsid w:val="003A6EB8"/>
    <w:rsid w:val="003A71A0"/>
    <w:rsid w:val="003A7334"/>
    <w:rsid w:val="003A76B2"/>
    <w:rsid w:val="003A7BC8"/>
    <w:rsid w:val="003B0E11"/>
    <w:rsid w:val="003B1336"/>
    <w:rsid w:val="003B1407"/>
    <w:rsid w:val="003B1C73"/>
    <w:rsid w:val="003B1D6C"/>
    <w:rsid w:val="003B1F08"/>
    <w:rsid w:val="003B32C3"/>
    <w:rsid w:val="003B36F8"/>
    <w:rsid w:val="003B3F5C"/>
    <w:rsid w:val="003B4B68"/>
    <w:rsid w:val="003B53FA"/>
    <w:rsid w:val="003B5AE6"/>
    <w:rsid w:val="003B5E00"/>
    <w:rsid w:val="003B6676"/>
    <w:rsid w:val="003B6736"/>
    <w:rsid w:val="003B6764"/>
    <w:rsid w:val="003B6971"/>
    <w:rsid w:val="003B6EF6"/>
    <w:rsid w:val="003B6FF6"/>
    <w:rsid w:val="003B70F9"/>
    <w:rsid w:val="003B721F"/>
    <w:rsid w:val="003B7A23"/>
    <w:rsid w:val="003B7B0A"/>
    <w:rsid w:val="003B7B8C"/>
    <w:rsid w:val="003B7D0D"/>
    <w:rsid w:val="003C0570"/>
    <w:rsid w:val="003C0BF1"/>
    <w:rsid w:val="003C1032"/>
    <w:rsid w:val="003C1793"/>
    <w:rsid w:val="003C1ACF"/>
    <w:rsid w:val="003C1BB2"/>
    <w:rsid w:val="003C1F7A"/>
    <w:rsid w:val="003C29C3"/>
    <w:rsid w:val="003C3110"/>
    <w:rsid w:val="003C332A"/>
    <w:rsid w:val="003C339C"/>
    <w:rsid w:val="003C394D"/>
    <w:rsid w:val="003C3D5F"/>
    <w:rsid w:val="003C3DA9"/>
    <w:rsid w:val="003C43A1"/>
    <w:rsid w:val="003C43FB"/>
    <w:rsid w:val="003C479F"/>
    <w:rsid w:val="003C4A45"/>
    <w:rsid w:val="003C55CE"/>
    <w:rsid w:val="003C564A"/>
    <w:rsid w:val="003C5BBA"/>
    <w:rsid w:val="003C6855"/>
    <w:rsid w:val="003C7081"/>
    <w:rsid w:val="003C7C7D"/>
    <w:rsid w:val="003D170B"/>
    <w:rsid w:val="003D1722"/>
    <w:rsid w:val="003D2542"/>
    <w:rsid w:val="003D283C"/>
    <w:rsid w:val="003D2A92"/>
    <w:rsid w:val="003D2E49"/>
    <w:rsid w:val="003D3289"/>
    <w:rsid w:val="003D343B"/>
    <w:rsid w:val="003D3807"/>
    <w:rsid w:val="003D3CB1"/>
    <w:rsid w:val="003D43FA"/>
    <w:rsid w:val="003D440A"/>
    <w:rsid w:val="003D44A4"/>
    <w:rsid w:val="003D4D2F"/>
    <w:rsid w:val="003D4FFD"/>
    <w:rsid w:val="003D5224"/>
    <w:rsid w:val="003D5DE0"/>
    <w:rsid w:val="003D617F"/>
    <w:rsid w:val="003D6211"/>
    <w:rsid w:val="003D64EE"/>
    <w:rsid w:val="003D6524"/>
    <w:rsid w:val="003D664F"/>
    <w:rsid w:val="003D69A8"/>
    <w:rsid w:val="003D6C1D"/>
    <w:rsid w:val="003D778B"/>
    <w:rsid w:val="003E0074"/>
    <w:rsid w:val="003E01FA"/>
    <w:rsid w:val="003E03EC"/>
    <w:rsid w:val="003E10B4"/>
    <w:rsid w:val="003E1DD8"/>
    <w:rsid w:val="003E2439"/>
    <w:rsid w:val="003E25D1"/>
    <w:rsid w:val="003E277D"/>
    <w:rsid w:val="003E326F"/>
    <w:rsid w:val="003E328C"/>
    <w:rsid w:val="003E37E8"/>
    <w:rsid w:val="003E3A12"/>
    <w:rsid w:val="003E3DCB"/>
    <w:rsid w:val="003E3DD0"/>
    <w:rsid w:val="003E503F"/>
    <w:rsid w:val="003E6288"/>
    <w:rsid w:val="003E66E7"/>
    <w:rsid w:val="003E6E49"/>
    <w:rsid w:val="003E7191"/>
    <w:rsid w:val="003E73F5"/>
    <w:rsid w:val="003E7409"/>
    <w:rsid w:val="003E7785"/>
    <w:rsid w:val="003E7A70"/>
    <w:rsid w:val="003F073C"/>
    <w:rsid w:val="003F09E1"/>
    <w:rsid w:val="003F0A58"/>
    <w:rsid w:val="003F0C65"/>
    <w:rsid w:val="003F1606"/>
    <w:rsid w:val="003F1A4F"/>
    <w:rsid w:val="003F248E"/>
    <w:rsid w:val="003F2E16"/>
    <w:rsid w:val="003F2F1C"/>
    <w:rsid w:val="003F35D2"/>
    <w:rsid w:val="003F3836"/>
    <w:rsid w:val="003F3E5E"/>
    <w:rsid w:val="003F4760"/>
    <w:rsid w:val="003F47B5"/>
    <w:rsid w:val="003F4D71"/>
    <w:rsid w:val="003F5383"/>
    <w:rsid w:val="003F58CA"/>
    <w:rsid w:val="003F5B06"/>
    <w:rsid w:val="003F5C27"/>
    <w:rsid w:val="003F635E"/>
    <w:rsid w:val="003F66BE"/>
    <w:rsid w:val="003F6ED4"/>
    <w:rsid w:val="003F790C"/>
    <w:rsid w:val="003F7E75"/>
    <w:rsid w:val="003F7F57"/>
    <w:rsid w:val="00400D28"/>
    <w:rsid w:val="00400EB8"/>
    <w:rsid w:val="00401189"/>
    <w:rsid w:val="00401628"/>
    <w:rsid w:val="00401FD8"/>
    <w:rsid w:val="00402AD6"/>
    <w:rsid w:val="00402BD8"/>
    <w:rsid w:val="00402CBB"/>
    <w:rsid w:val="004032CE"/>
    <w:rsid w:val="004034FF"/>
    <w:rsid w:val="00403EA0"/>
    <w:rsid w:val="00404D59"/>
    <w:rsid w:val="00405355"/>
    <w:rsid w:val="00405537"/>
    <w:rsid w:val="00405713"/>
    <w:rsid w:val="00405C73"/>
    <w:rsid w:val="0040611F"/>
    <w:rsid w:val="0040630A"/>
    <w:rsid w:val="004068F7"/>
    <w:rsid w:val="004073F4"/>
    <w:rsid w:val="004100A5"/>
    <w:rsid w:val="00410219"/>
    <w:rsid w:val="00410548"/>
    <w:rsid w:val="00410FAA"/>
    <w:rsid w:val="0041142D"/>
    <w:rsid w:val="00411B15"/>
    <w:rsid w:val="00411F1A"/>
    <w:rsid w:val="0041279A"/>
    <w:rsid w:val="00413A2C"/>
    <w:rsid w:val="00413B7A"/>
    <w:rsid w:val="00413F0F"/>
    <w:rsid w:val="004146EE"/>
    <w:rsid w:val="0041497D"/>
    <w:rsid w:val="00414CF1"/>
    <w:rsid w:val="00414EC8"/>
    <w:rsid w:val="00414ED7"/>
    <w:rsid w:val="0041502F"/>
    <w:rsid w:val="004157F4"/>
    <w:rsid w:val="0041585E"/>
    <w:rsid w:val="00415D7C"/>
    <w:rsid w:val="00416090"/>
    <w:rsid w:val="00416482"/>
    <w:rsid w:val="00416CB7"/>
    <w:rsid w:val="004172F6"/>
    <w:rsid w:val="00417549"/>
    <w:rsid w:val="0042019B"/>
    <w:rsid w:val="004202ED"/>
    <w:rsid w:val="004206F1"/>
    <w:rsid w:val="0042107C"/>
    <w:rsid w:val="00422113"/>
    <w:rsid w:val="00422402"/>
    <w:rsid w:val="004225CE"/>
    <w:rsid w:val="004227D4"/>
    <w:rsid w:val="0042282E"/>
    <w:rsid w:val="00422B73"/>
    <w:rsid w:val="00422C17"/>
    <w:rsid w:val="00423D4C"/>
    <w:rsid w:val="00423EB2"/>
    <w:rsid w:val="00425325"/>
    <w:rsid w:val="00425627"/>
    <w:rsid w:val="0042580C"/>
    <w:rsid w:val="0042584F"/>
    <w:rsid w:val="0042642B"/>
    <w:rsid w:val="00426FD3"/>
    <w:rsid w:val="0042795E"/>
    <w:rsid w:val="00427F7A"/>
    <w:rsid w:val="004309CD"/>
    <w:rsid w:val="00430F42"/>
    <w:rsid w:val="004312F4"/>
    <w:rsid w:val="0043134B"/>
    <w:rsid w:val="00432D87"/>
    <w:rsid w:val="0043316A"/>
    <w:rsid w:val="004346CB"/>
    <w:rsid w:val="00434B5E"/>
    <w:rsid w:val="00435017"/>
    <w:rsid w:val="00435EA8"/>
    <w:rsid w:val="00435F2A"/>
    <w:rsid w:val="00436017"/>
    <w:rsid w:val="00436A5B"/>
    <w:rsid w:val="00436FEC"/>
    <w:rsid w:val="0043739C"/>
    <w:rsid w:val="00437B0A"/>
    <w:rsid w:val="004400B0"/>
    <w:rsid w:val="00440271"/>
    <w:rsid w:val="00440D01"/>
    <w:rsid w:val="00441081"/>
    <w:rsid w:val="004415F6"/>
    <w:rsid w:val="00441812"/>
    <w:rsid w:val="00441CB3"/>
    <w:rsid w:val="004422B0"/>
    <w:rsid w:val="0044251E"/>
    <w:rsid w:val="0044265D"/>
    <w:rsid w:val="004427B8"/>
    <w:rsid w:val="00442AC5"/>
    <w:rsid w:val="00442F80"/>
    <w:rsid w:val="00444268"/>
    <w:rsid w:val="00444337"/>
    <w:rsid w:val="004444C7"/>
    <w:rsid w:val="004444E0"/>
    <w:rsid w:val="00444880"/>
    <w:rsid w:val="00444E8C"/>
    <w:rsid w:val="00446037"/>
    <w:rsid w:val="00446A94"/>
    <w:rsid w:val="00446AC4"/>
    <w:rsid w:val="00447557"/>
    <w:rsid w:val="00447BCA"/>
    <w:rsid w:val="00447ED7"/>
    <w:rsid w:val="00450E40"/>
    <w:rsid w:val="00451A10"/>
    <w:rsid w:val="00451B2F"/>
    <w:rsid w:val="00451D6F"/>
    <w:rsid w:val="00451F79"/>
    <w:rsid w:val="00452364"/>
    <w:rsid w:val="00452AA9"/>
    <w:rsid w:val="00453520"/>
    <w:rsid w:val="00453A56"/>
    <w:rsid w:val="00453B0D"/>
    <w:rsid w:val="00453C6B"/>
    <w:rsid w:val="004547E5"/>
    <w:rsid w:val="00455976"/>
    <w:rsid w:val="00455A94"/>
    <w:rsid w:val="00455BB2"/>
    <w:rsid w:val="00456633"/>
    <w:rsid w:val="00456923"/>
    <w:rsid w:val="00456E1C"/>
    <w:rsid w:val="00456E85"/>
    <w:rsid w:val="00457784"/>
    <w:rsid w:val="00457B2E"/>
    <w:rsid w:val="00460008"/>
    <w:rsid w:val="0046058F"/>
    <w:rsid w:val="00461308"/>
    <w:rsid w:val="00462004"/>
    <w:rsid w:val="00462103"/>
    <w:rsid w:val="00462A52"/>
    <w:rsid w:val="00462E02"/>
    <w:rsid w:val="0046316A"/>
    <w:rsid w:val="004635B1"/>
    <w:rsid w:val="00464905"/>
    <w:rsid w:val="00464B47"/>
    <w:rsid w:val="0046563A"/>
    <w:rsid w:val="00465A29"/>
    <w:rsid w:val="00465F13"/>
    <w:rsid w:val="00466291"/>
    <w:rsid w:val="00466A0A"/>
    <w:rsid w:val="00466B7D"/>
    <w:rsid w:val="00466DCC"/>
    <w:rsid w:val="00466E6B"/>
    <w:rsid w:val="004673B9"/>
    <w:rsid w:val="004675F7"/>
    <w:rsid w:val="00467798"/>
    <w:rsid w:val="00467ABE"/>
    <w:rsid w:val="00467FB3"/>
    <w:rsid w:val="0047026D"/>
    <w:rsid w:val="004702EB"/>
    <w:rsid w:val="00470491"/>
    <w:rsid w:val="004707E7"/>
    <w:rsid w:val="004709C6"/>
    <w:rsid w:val="0047142C"/>
    <w:rsid w:val="00471475"/>
    <w:rsid w:val="00471C0B"/>
    <w:rsid w:val="00472167"/>
    <w:rsid w:val="00472639"/>
    <w:rsid w:val="0047283D"/>
    <w:rsid w:val="00472E24"/>
    <w:rsid w:val="00473A3F"/>
    <w:rsid w:val="00474594"/>
    <w:rsid w:val="00474CB6"/>
    <w:rsid w:val="0047505E"/>
    <w:rsid w:val="004755DD"/>
    <w:rsid w:val="00475AFC"/>
    <w:rsid w:val="004760D0"/>
    <w:rsid w:val="00476D01"/>
    <w:rsid w:val="00477146"/>
    <w:rsid w:val="004774B7"/>
    <w:rsid w:val="00477902"/>
    <w:rsid w:val="004779D9"/>
    <w:rsid w:val="00477AC9"/>
    <w:rsid w:val="004807C7"/>
    <w:rsid w:val="00480A5C"/>
    <w:rsid w:val="0048120C"/>
    <w:rsid w:val="00481479"/>
    <w:rsid w:val="004815B6"/>
    <w:rsid w:val="00481899"/>
    <w:rsid w:val="00481998"/>
    <w:rsid w:val="0048255F"/>
    <w:rsid w:val="004833E6"/>
    <w:rsid w:val="004841AD"/>
    <w:rsid w:val="0048448D"/>
    <w:rsid w:val="00484846"/>
    <w:rsid w:val="004857D7"/>
    <w:rsid w:val="004859B0"/>
    <w:rsid w:val="00485B1C"/>
    <w:rsid w:val="00485F37"/>
    <w:rsid w:val="0048602F"/>
    <w:rsid w:val="00486124"/>
    <w:rsid w:val="004862C4"/>
    <w:rsid w:val="00490045"/>
    <w:rsid w:val="00490606"/>
    <w:rsid w:val="00490AAB"/>
    <w:rsid w:val="00490AB4"/>
    <w:rsid w:val="004924FD"/>
    <w:rsid w:val="00493069"/>
    <w:rsid w:val="00493A68"/>
    <w:rsid w:val="00493C94"/>
    <w:rsid w:val="004946CD"/>
    <w:rsid w:val="00495350"/>
    <w:rsid w:val="00495EA0"/>
    <w:rsid w:val="004963B4"/>
    <w:rsid w:val="00496B5A"/>
    <w:rsid w:val="00496FC9"/>
    <w:rsid w:val="00497227"/>
    <w:rsid w:val="0049745E"/>
    <w:rsid w:val="004A051E"/>
    <w:rsid w:val="004A0599"/>
    <w:rsid w:val="004A082E"/>
    <w:rsid w:val="004A08AD"/>
    <w:rsid w:val="004A09FB"/>
    <w:rsid w:val="004A0E76"/>
    <w:rsid w:val="004A0E97"/>
    <w:rsid w:val="004A0F04"/>
    <w:rsid w:val="004A14D3"/>
    <w:rsid w:val="004A1AFA"/>
    <w:rsid w:val="004A2031"/>
    <w:rsid w:val="004A288C"/>
    <w:rsid w:val="004A2C72"/>
    <w:rsid w:val="004A3F0C"/>
    <w:rsid w:val="004A40C6"/>
    <w:rsid w:val="004A4CD4"/>
    <w:rsid w:val="004A4F2B"/>
    <w:rsid w:val="004A5737"/>
    <w:rsid w:val="004A5A36"/>
    <w:rsid w:val="004A6BC4"/>
    <w:rsid w:val="004A6C68"/>
    <w:rsid w:val="004A7960"/>
    <w:rsid w:val="004A7C7C"/>
    <w:rsid w:val="004A7EAA"/>
    <w:rsid w:val="004B063A"/>
    <w:rsid w:val="004B1528"/>
    <w:rsid w:val="004B1AF4"/>
    <w:rsid w:val="004B1ECE"/>
    <w:rsid w:val="004B2112"/>
    <w:rsid w:val="004B214D"/>
    <w:rsid w:val="004B36C4"/>
    <w:rsid w:val="004B3F2E"/>
    <w:rsid w:val="004B446A"/>
    <w:rsid w:val="004B4C36"/>
    <w:rsid w:val="004B5031"/>
    <w:rsid w:val="004B580D"/>
    <w:rsid w:val="004B5BC8"/>
    <w:rsid w:val="004B5D80"/>
    <w:rsid w:val="004B5E32"/>
    <w:rsid w:val="004B65C5"/>
    <w:rsid w:val="004B6FF1"/>
    <w:rsid w:val="004B70A1"/>
    <w:rsid w:val="004B7C17"/>
    <w:rsid w:val="004C0540"/>
    <w:rsid w:val="004C0A2A"/>
    <w:rsid w:val="004C0B94"/>
    <w:rsid w:val="004C0D3D"/>
    <w:rsid w:val="004C0D57"/>
    <w:rsid w:val="004C0F4E"/>
    <w:rsid w:val="004C1718"/>
    <w:rsid w:val="004C1D7A"/>
    <w:rsid w:val="004C1F88"/>
    <w:rsid w:val="004C2891"/>
    <w:rsid w:val="004C2DE9"/>
    <w:rsid w:val="004C34B2"/>
    <w:rsid w:val="004C3C2C"/>
    <w:rsid w:val="004C3F6B"/>
    <w:rsid w:val="004C45F0"/>
    <w:rsid w:val="004C48D6"/>
    <w:rsid w:val="004C4DB5"/>
    <w:rsid w:val="004C5541"/>
    <w:rsid w:val="004C5948"/>
    <w:rsid w:val="004C5B2E"/>
    <w:rsid w:val="004C5E2F"/>
    <w:rsid w:val="004C5E65"/>
    <w:rsid w:val="004C6539"/>
    <w:rsid w:val="004C6FAF"/>
    <w:rsid w:val="004C780E"/>
    <w:rsid w:val="004C79EA"/>
    <w:rsid w:val="004C7CB6"/>
    <w:rsid w:val="004D0594"/>
    <w:rsid w:val="004D0BEA"/>
    <w:rsid w:val="004D13D1"/>
    <w:rsid w:val="004D1638"/>
    <w:rsid w:val="004D166E"/>
    <w:rsid w:val="004D169B"/>
    <w:rsid w:val="004D22B0"/>
    <w:rsid w:val="004D2448"/>
    <w:rsid w:val="004D264E"/>
    <w:rsid w:val="004D33F2"/>
    <w:rsid w:val="004D359A"/>
    <w:rsid w:val="004D4522"/>
    <w:rsid w:val="004D4C86"/>
    <w:rsid w:val="004D528A"/>
    <w:rsid w:val="004D5644"/>
    <w:rsid w:val="004D5A89"/>
    <w:rsid w:val="004D5B20"/>
    <w:rsid w:val="004D5D0F"/>
    <w:rsid w:val="004D6A04"/>
    <w:rsid w:val="004D6B56"/>
    <w:rsid w:val="004D78FF"/>
    <w:rsid w:val="004D7EF9"/>
    <w:rsid w:val="004E0412"/>
    <w:rsid w:val="004E0601"/>
    <w:rsid w:val="004E0929"/>
    <w:rsid w:val="004E0B6D"/>
    <w:rsid w:val="004E0DD4"/>
    <w:rsid w:val="004E12FB"/>
    <w:rsid w:val="004E14AB"/>
    <w:rsid w:val="004E1E56"/>
    <w:rsid w:val="004E20EB"/>
    <w:rsid w:val="004E215A"/>
    <w:rsid w:val="004E2CDC"/>
    <w:rsid w:val="004E36CB"/>
    <w:rsid w:val="004E3879"/>
    <w:rsid w:val="004E4915"/>
    <w:rsid w:val="004E498F"/>
    <w:rsid w:val="004E4E32"/>
    <w:rsid w:val="004E512C"/>
    <w:rsid w:val="004E529C"/>
    <w:rsid w:val="004E53D9"/>
    <w:rsid w:val="004E5DE3"/>
    <w:rsid w:val="004E605B"/>
    <w:rsid w:val="004E6361"/>
    <w:rsid w:val="004E7DE9"/>
    <w:rsid w:val="004F028A"/>
    <w:rsid w:val="004F0B34"/>
    <w:rsid w:val="004F0D70"/>
    <w:rsid w:val="004F0D8E"/>
    <w:rsid w:val="004F0FEF"/>
    <w:rsid w:val="004F14FC"/>
    <w:rsid w:val="004F22A6"/>
    <w:rsid w:val="004F2968"/>
    <w:rsid w:val="004F30C2"/>
    <w:rsid w:val="004F31A1"/>
    <w:rsid w:val="004F34AE"/>
    <w:rsid w:val="004F3E27"/>
    <w:rsid w:val="004F41A7"/>
    <w:rsid w:val="004F49BC"/>
    <w:rsid w:val="004F4EF4"/>
    <w:rsid w:val="004F51C1"/>
    <w:rsid w:val="004F5230"/>
    <w:rsid w:val="004F55CC"/>
    <w:rsid w:val="004F55D8"/>
    <w:rsid w:val="004F625F"/>
    <w:rsid w:val="004F6736"/>
    <w:rsid w:val="004F6827"/>
    <w:rsid w:val="004F699A"/>
    <w:rsid w:val="004F6AE0"/>
    <w:rsid w:val="004F6C44"/>
    <w:rsid w:val="004F6EE0"/>
    <w:rsid w:val="004F6FC8"/>
    <w:rsid w:val="004F747E"/>
    <w:rsid w:val="004F767C"/>
    <w:rsid w:val="004F7ABD"/>
    <w:rsid w:val="005004D1"/>
    <w:rsid w:val="00500549"/>
    <w:rsid w:val="005009A9"/>
    <w:rsid w:val="0050134D"/>
    <w:rsid w:val="00501541"/>
    <w:rsid w:val="00501CD9"/>
    <w:rsid w:val="00501F95"/>
    <w:rsid w:val="0050211B"/>
    <w:rsid w:val="00503816"/>
    <w:rsid w:val="005038F1"/>
    <w:rsid w:val="00503E41"/>
    <w:rsid w:val="00504096"/>
    <w:rsid w:val="00504413"/>
    <w:rsid w:val="0050450B"/>
    <w:rsid w:val="005049C4"/>
    <w:rsid w:val="00504F11"/>
    <w:rsid w:val="00505064"/>
    <w:rsid w:val="0050519E"/>
    <w:rsid w:val="00505B60"/>
    <w:rsid w:val="00506134"/>
    <w:rsid w:val="00506C5F"/>
    <w:rsid w:val="00506C86"/>
    <w:rsid w:val="00507392"/>
    <w:rsid w:val="00507A80"/>
    <w:rsid w:val="00507E89"/>
    <w:rsid w:val="0051028B"/>
    <w:rsid w:val="005102DF"/>
    <w:rsid w:val="00510366"/>
    <w:rsid w:val="00510954"/>
    <w:rsid w:val="00511115"/>
    <w:rsid w:val="00511617"/>
    <w:rsid w:val="00511824"/>
    <w:rsid w:val="0051196E"/>
    <w:rsid w:val="0051215F"/>
    <w:rsid w:val="0051282C"/>
    <w:rsid w:val="00512EA2"/>
    <w:rsid w:val="005138EB"/>
    <w:rsid w:val="005144F6"/>
    <w:rsid w:val="00514A0C"/>
    <w:rsid w:val="00516006"/>
    <w:rsid w:val="005161BE"/>
    <w:rsid w:val="005164E6"/>
    <w:rsid w:val="00516734"/>
    <w:rsid w:val="00516F8F"/>
    <w:rsid w:val="00517859"/>
    <w:rsid w:val="005200B8"/>
    <w:rsid w:val="00521084"/>
    <w:rsid w:val="0052129E"/>
    <w:rsid w:val="00521529"/>
    <w:rsid w:val="00521597"/>
    <w:rsid w:val="0052195E"/>
    <w:rsid w:val="00521FBC"/>
    <w:rsid w:val="005220A3"/>
    <w:rsid w:val="00522269"/>
    <w:rsid w:val="005224EF"/>
    <w:rsid w:val="005225FC"/>
    <w:rsid w:val="00522918"/>
    <w:rsid w:val="00524B4A"/>
    <w:rsid w:val="00524C68"/>
    <w:rsid w:val="00525CBB"/>
    <w:rsid w:val="00525EB0"/>
    <w:rsid w:val="0052688E"/>
    <w:rsid w:val="0052713A"/>
    <w:rsid w:val="0052723F"/>
    <w:rsid w:val="00527300"/>
    <w:rsid w:val="00527817"/>
    <w:rsid w:val="00530572"/>
    <w:rsid w:val="00530C2B"/>
    <w:rsid w:val="005311C3"/>
    <w:rsid w:val="0053148B"/>
    <w:rsid w:val="00531A57"/>
    <w:rsid w:val="00531F81"/>
    <w:rsid w:val="0053205D"/>
    <w:rsid w:val="005324AF"/>
    <w:rsid w:val="00532810"/>
    <w:rsid w:val="00532950"/>
    <w:rsid w:val="00532BBF"/>
    <w:rsid w:val="00532EF4"/>
    <w:rsid w:val="005332B8"/>
    <w:rsid w:val="00533633"/>
    <w:rsid w:val="00533A29"/>
    <w:rsid w:val="00533B8A"/>
    <w:rsid w:val="00533C0D"/>
    <w:rsid w:val="00533C46"/>
    <w:rsid w:val="00534288"/>
    <w:rsid w:val="00535482"/>
    <w:rsid w:val="005369E6"/>
    <w:rsid w:val="00536E88"/>
    <w:rsid w:val="00537277"/>
    <w:rsid w:val="005375A2"/>
    <w:rsid w:val="00537CA6"/>
    <w:rsid w:val="00537F1A"/>
    <w:rsid w:val="00540757"/>
    <w:rsid w:val="00540EEC"/>
    <w:rsid w:val="00541116"/>
    <w:rsid w:val="0054270C"/>
    <w:rsid w:val="00542C5B"/>
    <w:rsid w:val="00542CC9"/>
    <w:rsid w:val="00543E69"/>
    <w:rsid w:val="00543FE4"/>
    <w:rsid w:val="00544716"/>
    <w:rsid w:val="005449A6"/>
    <w:rsid w:val="00545170"/>
    <w:rsid w:val="00545283"/>
    <w:rsid w:val="00545EF0"/>
    <w:rsid w:val="00545F92"/>
    <w:rsid w:val="00546181"/>
    <w:rsid w:val="005462AD"/>
    <w:rsid w:val="00546308"/>
    <w:rsid w:val="00546323"/>
    <w:rsid w:val="00546608"/>
    <w:rsid w:val="005468E2"/>
    <w:rsid w:val="00546A8A"/>
    <w:rsid w:val="00546CCF"/>
    <w:rsid w:val="00547EF6"/>
    <w:rsid w:val="00550518"/>
    <w:rsid w:val="0055061F"/>
    <w:rsid w:val="005511A6"/>
    <w:rsid w:val="00551497"/>
    <w:rsid w:val="005515EB"/>
    <w:rsid w:val="00551868"/>
    <w:rsid w:val="00551EED"/>
    <w:rsid w:val="00552809"/>
    <w:rsid w:val="005528BC"/>
    <w:rsid w:val="005531F4"/>
    <w:rsid w:val="00553906"/>
    <w:rsid w:val="005539E1"/>
    <w:rsid w:val="00553A24"/>
    <w:rsid w:val="00554139"/>
    <w:rsid w:val="00554362"/>
    <w:rsid w:val="005543F3"/>
    <w:rsid w:val="00554CA8"/>
    <w:rsid w:val="00554EB2"/>
    <w:rsid w:val="005566DE"/>
    <w:rsid w:val="005571E8"/>
    <w:rsid w:val="00557FD0"/>
    <w:rsid w:val="00560069"/>
    <w:rsid w:val="00560C35"/>
    <w:rsid w:val="00561241"/>
    <w:rsid w:val="00561485"/>
    <w:rsid w:val="00561CCF"/>
    <w:rsid w:val="00561CD8"/>
    <w:rsid w:val="00562893"/>
    <w:rsid w:val="00562F70"/>
    <w:rsid w:val="00563910"/>
    <w:rsid w:val="00563A26"/>
    <w:rsid w:val="00563FCD"/>
    <w:rsid w:val="005641D7"/>
    <w:rsid w:val="00564771"/>
    <w:rsid w:val="005650F5"/>
    <w:rsid w:val="00565236"/>
    <w:rsid w:val="00565267"/>
    <w:rsid w:val="005653F7"/>
    <w:rsid w:val="00565540"/>
    <w:rsid w:val="00565F63"/>
    <w:rsid w:val="00566CA7"/>
    <w:rsid w:val="00567A9D"/>
    <w:rsid w:val="00567BED"/>
    <w:rsid w:val="00567D4D"/>
    <w:rsid w:val="00570703"/>
    <w:rsid w:val="00570EB0"/>
    <w:rsid w:val="005718DF"/>
    <w:rsid w:val="005719C1"/>
    <w:rsid w:val="0057225A"/>
    <w:rsid w:val="005722DF"/>
    <w:rsid w:val="0057252B"/>
    <w:rsid w:val="00572BC1"/>
    <w:rsid w:val="00573488"/>
    <w:rsid w:val="005734DD"/>
    <w:rsid w:val="0057366C"/>
    <w:rsid w:val="005739CB"/>
    <w:rsid w:val="00573CFE"/>
    <w:rsid w:val="00574D5E"/>
    <w:rsid w:val="00574FAE"/>
    <w:rsid w:val="005750A2"/>
    <w:rsid w:val="00575344"/>
    <w:rsid w:val="005757C6"/>
    <w:rsid w:val="00575FBB"/>
    <w:rsid w:val="00576ADF"/>
    <w:rsid w:val="00577810"/>
    <w:rsid w:val="00577ED9"/>
    <w:rsid w:val="00580378"/>
    <w:rsid w:val="00580FE9"/>
    <w:rsid w:val="00581024"/>
    <w:rsid w:val="00581169"/>
    <w:rsid w:val="00581EAB"/>
    <w:rsid w:val="005823A2"/>
    <w:rsid w:val="005827BC"/>
    <w:rsid w:val="00582DE0"/>
    <w:rsid w:val="00582EB1"/>
    <w:rsid w:val="00583227"/>
    <w:rsid w:val="005837EC"/>
    <w:rsid w:val="005847AC"/>
    <w:rsid w:val="0058521F"/>
    <w:rsid w:val="005856FC"/>
    <w:rsid w:val="00585B69"/>
    <w:rsid w:val="00586BEB"/>
    <w:rsid w:val="005873AC"/>
    <w:rsid w:val="00587939"/>
    <w:rsid w:val="00587C73"/>
    <w:rsid w:val="00587FA4"/>
    <w:rsid w:val="0059003E"/>
    <w:rsid w:val="00590F04"/>
    <w:rsid w:val="00591934"/>
    <w:rsid w:val="005921A6"/>
    <w:rsid w:val="00592C55"/>
    <w:rsid w:val="005934E0"/>
    <w:rsid w:val="00593735"/>
    <w:rsid w:val="00593EBB"/>
    <w:rsid w:val="00593FD2"/>
    <w:rsid w:val="005941A2"/>
    <w:rsid w:val="005942E7"/>
    <w:rsid w:val="0059529F"/>
    <w:rsid w:val="005953FE"/>
    <w:rsid w:val="005954FE"/>
    <w:rsid w:val="005956EA"/>
    <w:rsid w:val="00595D13"/>
    <w:rsid w:val="0059621C"/>
    <w:rsid w:val="005969CA"/>
    <w:rsid w:val="00597553"/>
    <w:rsid w:val="005977A0"/>
    <w:rsid w:val="005978CA"/>
    <w:rsid w:val="005A00C1"/>
    <w:rsid w:val="005A0A48"/>
    <w:rsid w:val="005A1494"/>
    <w:rsid w:val="005A259E"/>
    <w:rsid w:val="005A30D9"/>
    <w:rsid w:val="005A3677"/>
    <w:rsid w:val="005A3A39"/>
    <w:rsid w:val="005A3A57"/>
    <w:rsid w:val="005A3CF6"/>
    <w:rsid w:val="005A5047"/>
    <w:rsid w:val="005A692C"/>
    <w:rsid w:val="005A756E"/>
    <w:rsid w:val="005A7F08"/>
    <w:rsid w:val="005B0E75"/>
    <w:rsid w:val="005B0EEF"/>
    <w:rsid w:val="005B0FC6"/>
    <w:rsid w:val="005B18DA"/>
    <w:rsid w:val="005B1B67"/>
    <w:rsid w:val="005B1E4B"/>
    <w:rsid w:val="005B27BC"/>
    <w:rsid w:val="005B2AD5"/>
    <w:rsid w:val="005B2BE6"/>
    <w:rsid w:val="005B2CD1"/>
    <w:rsid w:val="005B2F0F"/>
    <w:rsid w:val="005B30D3"/>
    <w:rsid w:val="005B33FA"/>
    <w:rsid w:val="005B410E"/>
    <w:rsid w:val="005B46B7"/>
    <w:rsid w:val="005B46FA"/>
    <w:rsid w:val="005B4DE4"/>
    <w:rsid w:val="005B5110"/>
    <w:rsid w:val="005B52FC"/>
    <w:rsid w:val="005B531B"/>
    <w:rsid w:val="005B5340"/>
    <w:rsid w:val="005B5468"/>
    <w:rsid w:val="005B57A6"/>
    <w:rsid w:val="005B58F8"/>
    <w:rsid w:val="005B5BFC"/>
    <w:rsid w:val="005B6A64"/>
    <w:rsid w:val="005B6B0E"/>
    <w:rsid w:val="005B78F7"/>
    <w:rsid w:val="005B7904"/>
    <w:rsid w:val="005C026D"/>
    <w:rsid w:val="005C1487"/>
    <w:rsid w:val="005C1BC2"/>
    <w:rsid w:val="005C2167"/>
    <w:rsid w:val="005C2559"/>
    <w:rsid w:val="005C27C9"/>
    <w:rsid w:val="005C2F4F"/>
    <w:rsid w:val="005C31D1"/>
    <w:rsid w:val="005C37EC"/>
    <w:rsid w:val="005C3960"/>
    <w:rsid w:val="005C3B4B"/>
    <w:rsid w:val="005C4685"/>
    <w:rsid w:val="005C4795"/>
    <w:rsid w:val="005C5689"/>
    <w:rsid w:val="005C5703"/>
    <w:rsid w:val="005C5F2B"/>
    <w:rsid w:val="005C64CD"/>
    <w:rsid w:val="005C6A09"/>
    <w:rsid w:val="005C6AB1"/>
    <w:rsid w:val="005C723E"/>
    <w:rsid w:val="005C7BCF"/>
    <w:rsid w:val="005C7E0B"/>
    <w:rsid w:val="005C7EE6"/>
    <w:rsid w:val="005C7F05"/>
    <w:rsid w:val="005D0205"/>
    <w:rsid w:val="005D031E"/>
    <w:rsid w:val="005D04AB"/>
    <w:rsid w:val="005D1A9D"/>
    <w:rsid w:val="005D1E1B"/>
    <w:rsid w:val="005D2A9C"/>
    <w:rsid w:val="005D2D99"/>
    <w:rsid w:val="005D3105"/>
    <w:rsid w:val="005D3588"/>
    <w:rsid w:val="005D35CA"/>
    <w:rsid w:val="005D3EE4"/>
    <w:rsid w:val="005D4651"/>
    <w:rsid w:val="005D5097"/>
    <w:rsid w:val="005D531B"/>
    <w:rsid w:val="005D56D4"/>
    <w:rsid w:val="005D58DF"/>
    <w:rsid w:val="005D5C5A"/>
    <w:rsid w:val="005D5E38"/>
    <w:rsid w:val="005D5FBB"/>
    <w:rsid w:val="005D66BB"/>
    <w:rsid w:val="005D69B0"/>
    <w:rsid w:val="005D6A0F"/>
    <w:rsid w:val="005D6BBF"/>
    <w:rsid w:val="005D6CB4"/>
    <w:rsid w:val="005D7073"/>
    <w:rsid w:val="005D718A"/>
    <w:rsid w:val="005D7A2F"/>
    <w:rsid w:val="005E00E1"/>
    <w:rsid w:val="005E035F"/>
    <w:rsid w:val="005E037E"/>
    <w:rsid w:val="005E1823"/>
    <w:rsid w:val="005E1EBA"/>
    <w:rsid w:val="005E20A2"/>
    <w:rsid w:val="005E2217"/>
    <w:rsid w:val="005E2A55"/>
    <w:rsid w:val="005E3F48"/>
    <w:rsid w:val="005E4A8F"/>
    <w:rsid w:val="005E4B42"/>
    <w:rsid w:val="005E5258"/>
    <w:rsid w:val="005E5AEB"/>
    <w:rsid w:val="005E62A1"/>
    <w:rsid w:val="005E6A31"/>
    <w:rsid w:val="005E6CAB"/>
    <w:rsid w:val="005E7525"/>
    <w:rsid w:val="005E793B"/>
    <w:rsid w:val="005E7B0C"/>
    <w:rsid w:val="005E7B6D"/>
    <w:rsid w:val="005E7C80"/>
    <w:rsid w:val="005E7F93"/>
    <w:rsid w:val="005F038A"/>
    <w:rsid w:val="005F041B"/>
    <w:rsid w:val="005F0877"/>
    <w:rsid w:val="005F10D2"/>
    <w:rsid w:val="005F1260"/>
    <w:rsid w:val="005F18C3"/>
    <w:rsid w:val="005F1B06"/>
    <w:rsid w:val="005F1B8D"/>
    <w:rsid w:val="005F1C23"/>
    <w:rsid w:val="005F1D87"/>
    <w:rsid w:val="005F1E33"/>
    <w:rsid w:val="005F2936"/>
    <w:rsid w:val="005F2DA2"/>
    <w:rsid w:val="005F2E5F"/>
    <w:rsid w:val="005F3569"/>
    <w:rsid w:val="005F3EAF"/>
    <w:rsid w:val="005F448C"/>
    <w:rsid w:val="005F4CAA"/>
    <w:rsid w:val="005F54AA"/>
    <w:rsid w:val="005F6313"/>
    <w:rsid w:val="005F644A"/>
    <w:rsid w:val="005F650D"/>
    <w:rsid w:val="005F6A6A"/>
    <w:rsid w:val="005F6DDE"/>
    <w:rsid w:val="005F6E79"/>
    <w:rsid w:val="005F6F11"/>
    <w:rsid w:val="005F7200"/>
    <w:rsid w:val="005F721B"/>
    <w:rsid w:val="006001F4"/>
    <w:rsid w:val="006004D8"/>
    <w:rsid w:val="00600508"/>
    <w:rsid w:val="00600C4C"/>
    <w:rsid w:val="00600D43"/>
    <w:rsid w:val="0060139F"/>
    <w:rsid w:val="0060191B"/>
    <w:rsid w:val="00601AF5"/>
    <w:rsid w:val="0060206B"/>
    <w:rsid w:val="006025F2"/>
    <w:rsid w:val="00603715"/>
    <w:rsid w:val="00603D7C"/>
    <w:rsid w:val="00603ED5"/>
    <w:rsid w:val="00604318"/>
    <w:rsid w:val="006043E9"/>
    <w:rsid w:val="00604848"/>
    <w:rsid w:val="00604A09"/>
    <w:rsid w:val="00604D18"/>
    <w:rsid w:val="00604DC1"/>
    <w:rsid w:val="006054E2"/>
    <w:rsid w:val="00605FAD"/>
    <w:rsid w:val="00606776"/>
    <w:rsid w:val="00606C01"/>
    <w:rsid w:val="00606E18"/>
    <w:rsid w:val="006075DF"/>
    <w:rsid w:val="00607A52"/>
    <w:rsid w:val="00607D8F"/>
    <w:rsid w:val="00607E91"/>
    <w:rsid w:val="00610A1C"/>
    <w:rsid w:val="00610D70"/>
    <w:rsid w:val="00610F07"/>
    <w:rsid w:val="006110AE"/>
    <w:rsid w:val="00611123"/>
    <w:rsid w:val="0061218F"/>
    <w:rsid w:val="00612383"/>
    <w:rsid w:val="006128D6"/>
    <w:rsid w:val="006135A6"/>
    <w:rsid w:val="0061435D"/>
    <w:rsid w:val="006146D2"/>
    <w:rsid w:val="00614BC4"/>
    <w:rsid w:val="0061508E"/>
    <w:rsid w:val="00615BA1"/>
    <w:rsid w:val="00615D13"/>
    <w:rsid w:val="006163E9"/>
    <w:rsid w:val="00616611"/>
    <w:rsid w:val="00616736"/>
    <w:rsid w:val="006172B7"/>
    <w:rsid w:val="00617897"/>
    <w:rsid w:val="00617B1D"/>
    <w:rsid w:val="00617C57"/>
    <w:rsid w:val="0062068A"/>
    <w:rsid w:val="00620B7D"/>
    <w:rsid w:val="006217D3"/>
    <w:rsid w:val="006219D1"/>
    <w:rsid w:val="00621A15"/>
    <w:rsid w:val="00621FBC"/>
    <w:rsid w:val="0062202B"/>
    <w:rsid w:val="00622257"/>
    <w:rsid w:val="00622B4F"/>
    <w:rsid w:val="00622C11"/>
    <w:rsid w:val="006234A8"/>
    <w:rsid w:val="00623B80"/>
    <w:rsid w:val="00624B98"/>
    <w:rsid w:val="006253AE"/>
    <w:rsid w:val="0062570A"/>
    <w:rsid w:val="006258AF"/>
    <w:rsid w:val="00625DEA"/>
    <w:rsid w:val="00626EB5"/>
    <w:rsid w:val="0062717C"/>
    <w:rsid w:val="006273FC"/>
    <w:rsid w:val="00627B3F"/>
    <w:rsid w:val="00627C0B"/>
    <w:rsid w:val="00627D72"/>
    <w:rsid w:val="006300E8"/>
    <w:rsid w:val="006301FB"/>
    <w:rsid w:val="0063057F"/>
    <w:rsid w:val="00630A93"/>
    <w:rsid w:val="00630B39"/>
    <w:rsid w:val="00631DCA"/>
    <w:rsid w:val="00631FAE"/>
    <w:rsid w:val="00632269"/>
    <w:rsid w:val="00632294"/>
    <w:rsid w:val="00632CE7"/>
    <w:rsid w:val="00633091"/>
    <w:rsid w:val="00633399"/>
    <w:rsid w:val="00633E78"/>
    <w:rsid w:val="0063439F"/>
    <w:rsid w:val="006345A1"/>
    <w:rsid w:val="006349BF"/>
    <w:rsid w:val="0063528C"/>
    <w:rsid w:val="00635933"/>
    <w:rsid w:val="00635B6C"/>
    <w:rsid w:val="00635B80"/>
    <w:rsid w:val="00636215"/>
    <w:rsid w:val="006363B5"/>
    <w:rsid w:val="00636452"/>
    <w:rsid w:val="006365F6"/>
    <w:rsid w:val="00637F72"/>
    <w:rsid w:val="006400CA"/>
    <w:rsid w:val="00640629"/>
    <w:rsid w:val="006406AA"/>
    <w:rsid w:val="00640FC6"/>
    <w:rsid w:val="0064101E"/>
    <w:rsid w:val="0064159B"/>
    <w:rsid w:val="0064191A"/>
    <w:rsid w:val="00641F86"/>
    <w:rsid w:val="00642467"/>
    <w:rsid w:val="0064283C"/>
    <w:rsid w:val="00642B83"/>
    <w:rsid w:val="00643075"/>
    <w:rsid w:val="006430A4"/>
    <w:rsid w:val="00643A22"/>
    <w:rsid w:val="00643A7B"/>
    <w:rsid w:val="00643C4C"/>
    <w:rsid w:val="00643D04"/>
    <w:rsid w:val="00644124"/>
    <w:rsid w:val="00644323"/>
    <w:rsid w:val="006445A7"/>
    <w:rsid w:val="00644D86"/>
    <w:rsid w:val="0064538A"/>
    <w:rsid w:val="00646C0D"/>
    <w:rsid w:val="00647569"/>
    <w:rsid w:val="00647DD4"/>
    <w:rsid w:val="006500E0"/>
    <w:rsid w:val="00650623"/>
    <w:rsid w:val="00650673"/>
    <w:rsid w:val="00650856"/>
    <w:rsid w:val="006508FE"/>
    <w:rsid w:val="00650A1D"/>
    <w:rsid w:val="00650C2B"/>
    <w:rsid w:val="006510A2"/>
    <w:rsid w:val="006513FD"/>
    <w:rsid w:val="00651661"/>
    <w:rsid w:val="00651ACF"/>
    <w:rsid w:val="00651D7A"/>
    <w:rsid w:val="0065233E"/>
    <w:rsid w:val="0065289B"/>
    <w:rsid w:val="00652DD4"/>
    <w:rsid w:val="00653435"/>
    <w:rsid w:val="006538AD"/>
    <w:rsid w:val="006547F3"/>
    <w:rsid w:val="00654A83"/>
    <w:rsid w:val="00654C18"/>
    <w:rsid w:val="00654DE2"/>
    <w:rsid w:val="00654E70"/>
    <w:rsid w:val="006555F3"/>
    <w:rsid w:val="006557BC"/>
    <w:rsid w:val="0065632E"/>
    <w:rsid w:val="0065664F"/>
    <w:rsid w:val="006568AB"/>
    <w:rsid w:val="00656DBA"/>
    <w:rsid w:val="00657128"/>
    <w:rsid w:val="0065734B"/>
    <w:rsid w:val="00657C66"/>
    <w:rsid w:val="00657CEF"/>
    <w:rsid w:val="00657F74"/>
    <w:rsid w:val="00657F83"/>
    <w:rsid w:val="0066021E"/>
    <w:rsid w:val="00660512"/>
    <w:rsid w:val="0066154A"/>
    <w:rsid w:val="00661B1E"/>
    <w:rsid w:val="00661FF3"/>
    <w:rsid w:val="006629C9"/>
    <w:rsid w:val="00662DCD"/>
    <w:rsid w:val="00662E45"/>
    <w:rsid w:val="00663050"/>
    <w:rsid w:val="00663842"/>
    <w:rsid w:val="006639C2"/>
    <w:rsid w:val="006642FF"/>
    <w:rsid w:val="006647CD"/>
    <w:rsid w:val="006648AC"/>
    <w:rsid w:val="00664D03"/>
    <w:rsid w:val="00664F07"/>
    <w:rsid w:val="0066519C"/>
    <w:rsid w:val="006652CD"/>
    <w:rsid w:val="0066541F"/>
    <w:rsid w:val="006654FF"/>
    <w:rsid w:val="006656D7"/>
    <w:rsid w:val="00665E99"/>
    <w:rsid w:val="006661D4"/>
    <w:rsid w:val="00666705"/>
    <w:rsid w:val="00666C14"/>
    <w:rsid w:val="00666D14"/>
    <w:rsid w:val="00667502"/>
    <w:rsid w:val="00667509"/>
    <w:rsid w:val="006678A7"/>
    <w:rsid w:val="00667954"/>
    <w:rsid w:val="006679DF"/>
    <w:rsid w:val="006705F8"/>
    <w:rsid w:val="00670AC9"/>
    <w:rsid w:val="00670F83"/>
    <w:rsid w:val="00671A28"/>
    <w:rsid w:val="00671FDD"/>
    <w:rsid w:val="00671FF4"/>
    <w:rsid w:val="006721B5"/>
    <w:rsid w:val="00672251"/>
    <w:rsid w:val="00672356"/>
    <w:rsid w:val="00673396"/>
    <w:rsid w:val="0067374C"/>
    <w:rsid w:val="00673E6A"/>
    <w:rsid w:val="00674F53"/>
    <w:rsid w:val="0067566E"/>
    <w:rsid w:val="00675E82"/>
    <w:rsid w:val="00676518"/>
    <w:rsid w:val="00676BD1"/>
    <w:rsid w:val="00677082"/>
    <w:rsid w:val="00677635"/>
    <w:rsid w:val="006800D6"/>
    <w:rsid w:val="006802B9"/>
    <w:rsid w:val="00680314"/>
    <w:rsid w:val="006805EC"/>
    <w:rsid w:val="006806CC"/>
    <w:rsid w:val="00681A65"/>
    <w:rsid w:val="006822E0"/>
    <w:rsid w:val="00682785"/>
    <w:rsid w:val="00682DEC"/>
    <w:rsid w:val="006834EA"/>
    <w:rsid w:val="0068399E"/>
    <w:rsid w:val="0068459F"/>
    <w:rsid w:val="006851B0"/>
    <w:rsid w:val="006851EE"/>
    <w:rsid w:val="00685F67"/>
    <w:rsid w:val="00686B18"/>
    <w:rsid w:val="006875C1"/>
    <w:rsid w:val="006879EE"/>
    <w:rsid w:val="006901EF"/>
    <w:rsid w:val="006904E4"/>
    <w:rsid w:val="00690C1A"/>
    <w:rsid w:val="00690DD9"/>
    <w:rsid w:val="00690FC6"/>
    <w:rsid w:val="0069103E"/>
    <w:rsid w:val="006914F7"/>
    <w:rsid w:val="00691B26"/>
    <w:rsid w:val="00691C9A"/>
    <w:rsid w:val="00691E1F"/>
    <w:rsid w:val="0069295C"/>
    <w:rsid w:val="00692B61"/>
    <w:rsid w:val="00692F61"/>
    <w:rsid w:val="00693701"/>
    <w:rsid w:val="00694613"/>
    <w:rsid w:val="0069485F"/>
    <w:rsid w:val="00694E8C"/>
    <w:rsid w:val="006951A6"/>
    <w:rsid w:val="0069615C"/>
    <w:rsid w:val="00696A1E"/>
    <w:rsid w:val="00696AF3"/>
    <w:rsid w:val="00696C3F"/>
    <w:rsid w:val="00696D02"/>
    <w:rsid w:val="00697115"/>
    <w:rsid w:val="006972E4"/>
    <w:rsid w:val="00697530"/>
    <w:rsid w:val="00697AD8"/>
    <w:rsid w:val="006A06A2"/>
    <w:rsid w:val="006A0EC8"/>
    <w:rsid w:val="006A1A4A"/>
    <w:rsid w:val="006A22DD"/>
    <w:rsid w:val="006A25D9"/>
    <w:rsid w:val="006A276C"/>
    <w:rsid w:val="006A27C5"/>
    <w:rsid w:val="006A2A47"/>
    <w:rsid w:val="006A32EC"/>
    <w:rsid w:val="006A354C"/>
    <w:rsid w:val="006A3803"/>
    <w:rsid w:val="006A3914"/>
    <w:rsid w:val="006A3BD8"/>
    <w:rsid w:val="006A40A6"/>
    <w:rsid w:val="006A41DC"/>
    <w:rsid w:val="006A4606"/>
    <w:rsid w:val="006A4E65"/>
    <w:rsid w:val="006A57A1"/>
    <w:rsid w:val="006A676A"/>
    <w:rsid w:val="006A679E"/>
    <w:rsid w:val="006A69E7"/>
    <w:rsid w:val="006A715A"/>
    <w:rsid w:val="006A7202"/>
    <w:rsid w:val="006A79B5"/>
    <w:rsid w:val="006A7EF3"/>
    <w:rsid w:val="006B0F56"/>
    <w:rsid w:val="006B10A2"/>
    <w:rsid w:val="006B13FE"/>
    <w:rsid w:val="006B197A"/>
    <w:rsid w:val="006B2290"/>
    <w:rsid w:val="006B2E88"/>
    <w:rsid w:val="006B368D"/>
    <w:rsid w:val="006B3850"/>
    <w:rsid w:val="006B3BB5"/>
    <w:rsid w:val="006B40C8"/>
    <w:rsid w:val="006B4226"/>
    <w:rsid w:val="006B4C86"/>
    <w:rsid w:val="006B4F4D"/>
    <w:rsid w:val="006B5476"/>
    <w:rsid w:val="006B57E2"/>
    <w:rsid w:val="006B69F6"/>
    <w:rsid w:val="006B7DEC"/>
    <w:rsid w:val="006B7E0F"/>
    <w:rsid w:val="006C063B"/>
    <w:rsid w:val="006C0FF2"/>
    <w:rsid w:val="006C1113"/>
    <w:rsid w:val="006C194A"/>
    <w:rsid w:val="006C1D86"/>
    <w:rsid w:val="006C22F5"/>
    <w:rsid w:val="006C37AD"/>
    <w:rsid w:val="006C3F1C"/>
    <w:rsid w:val="006C3F1D"/>
    <w:rsid w:val="006C41C0"/>
    <w:rsid w:val="006C4218"/>
    <w:rsid w:val="006C421D"/>
    <w:rsid w:val="006C437B"/>
    <w:rsid w:val="006C440B"/>
    <w:rsid w:val="006C47B4"/>
    <w:rsid w:val="006C47C6"/>
    <w:rsid w:val="006C4B32"/>
    <w:rsid w:val="006C5565"/>
    <w:rsid w:val="006C5C11"/>
    <w:rsid w:val="006C5C2C"/>
    <w:rsid w:val="006C5D38"/>
    <w:rsid w:val="006C5FE3"/>
    <w:rsid w:val="006C6E3F"/>
    <w:rsid w:val="006C7231"/>
    <w:rsid w:val="006D0103"/>
    <w:rsid w:val="006D0AD2"/>
    <w:rsid w:val="006D0D77"/>
    <w:rsid w:val="006D0E49"/>
    <w:rsid w:val="006D0F82"/>
    <w:rsid w:val="006D0F9D"/>
    <w:rsid w:val="006D1224"/>
    <w:rsid w:val="006D12E9"/>
    <w:rsid w:val="006D14ED"/>
    <w:rsid w:val="006D1559"/>
    <w:rsid w:val="006D1C5B"/>
    <w:rsid w:val="006D1CA1"/>
    <w:rsid w:val="006D1E4B"/>
    <w:rsid w:val="006D22D8"/>
    <w:rsid w:val="006D2E1B"/>
    <w:rsid w:val="006D2FAC"/>
    <w:rsid w:val="006D36B8"/>
    <w:rsid w:val="006D390B"/>
    <w:rsid w:val="006D3BF2"/>
    <w:rsid w:val="006D3D47"/>
    <w:rsid w:val="006D3F95"/>
    <w:rsid w:val="006D4133"/>
    <w:rsid w:val="006D4241"/>
    <w:rsid w:val="006D44BC"/>
    <w:rsid w:val="006D4B75"/>
    <w:rsid w:val="006D50C4"/>
    <w:rsid w:val="006D54EF"/>
    <w:rsid w:val="006D5AE0"/>
    <w:rsid w:val="006D61C5"/>
    <w:rsid w:val="006D75C5"/>
    <w:rsid w:val="006D76A4"/>
    <w:rsid w:val="006D7704"/>
    <w:rsid w:val="006D776C"/>
    <w:rsid w:val="006D7BC4"/>
    <w:rsid w:val="006D7DB4"/>
    <w:rsid w:val="006E0361"/>
    <w:rsid w:val="006E1066"/>
    <w:rsid w:val="006E1070"/>
    <w:rsid w:val="006E13BC"/>
    <w:rsid w:val="006E1709"/>
    <w:rsid w:val="006E1B99"/>
    <w:rsid w:val="006E1CDA"/>
    <w:rsid w:val="006E1DDB"/>
    <w:rsid w:val="006E2C46"/>
    <w:rsid w:val="006E3308"/>
    <w:rsid w:val="006E3376"/>
    <w:rsid w:val="006E39EE"/>
    <w:rsid w:val="006E3C4F"/>
    <w:rsid w:val="006E4638"/>
    <w:rsid w:val="006E46F1"/>
    <w:rsid w:val="006E4AC8"/>
    <w:rsid w:val="006E4C4C"/>
    <w:rsid w:val="006E50A5"/>
    <w:rsid w:val="006E627D"/>
    <w:rsid w:val="006E653F"/>
    <w:rsid w:val="006E6916"/>
    <w:rsid w:val="006E6955"/>
    <w:rsid w:val="006E6A54"/>
    <w:rsid w:val="006E6D96"/>
    <w:rsid w:val="006E7AB6"/>
    <w:rsid w:val="006E7DF7"/>
    <w:rsid w:val="006F0721"/>
    <w:rsid w:val="006F0B17"/>
    <w:rsid w:val="006F0DD1"/>
    <w:rsid w:val="006F0EFA"/>
    <w:rsid w:val="006F0FD7"/>
    <w:rsid w:val="006F1056"/>
    <w:rsid w:val="006F11B4"/>
    <w:rsid w:val="006F11BB"/>
    <w:rsid w:val="006F11E6"/>
    <w:rsid w:val="006F1354"/>
    <w:rsid w:val="006F1387"/>
    <w:rsid w:val="006F16AF"/>
    <w:rsid w:val="006F170C"/>
    <w:rsid w:val="006F1C1E"/>
    <w:rsid w:val="006F3282"/>
    <w:rsid w:val="006F34B6"/>
    <w:rsid w:val="006F382C"/>
    <w:rsid w:val="006F39CB"/>
    <w:rsid w:val="006F3CE2"/>
    <w:rsid w:val="006F4287"/>
    <w:rsid w:val="006F46D2"/>
    <w:rsid w:val="006F4AAD"/>
    <w:rsid w:val="006F53DB"/>
    <w:rsid w:val="006F6410"/>
    <w:rsid w:val="006F7F93"/>
    <w:rsid w:val="007009E5"/>
    <w:rsid w:val="00700B47"/>
    <w:rsid w:val="00700BAA"/>
    <w:rsid w:val="00700D97"/>
    <w:rsid w:val="0070186B"/>
    <w:rsid w:val="00701BDC"/>
    <w:rsid w:val="00701FC9"/>
    <w:rsid w:val="0070253C"/>
    <w:rsid w:val="00702B45"/>
    <w:rsid w:val="00702C07"/>
    <w:rsid w:val="00702E95"/>
    <w:rsid w:val="00702EBD"/>
    <w:rsid w:val="00703481"/>
    <w:rsid w:val="00704AB3"/>
    <w:rsid w:val="00704DD1"/>
    <w:rsid w:val="007050C3"/>
    <w:rsid w:val="00705EFC"/>
    <w:rsid w:val="007066BB"/>
    <w:rsid w:val="00706FEB"/>
    <w:rsid w:val="00707DF3"/>
    <w:rsid w:val="00707F36"/>
    <w:rsid w:val="00707F95"/>
    <w:rsid w:val="00710B02"/>
    <w:rsid w:val="0071136D"/>
    <w:rsid w:val="00711437"/>
    <w:rsid w:val="00711808"/>
    <w:rsid w:val="00712705"/>
    <w:rsid w:val="00712979"/>
    <w:rsid w:val="00712B81"/>
    <w:rsid w:val="00712C78"/>
    <w:rsid w:val="00712DBE"/>
    <w:rsid w:val="007134D7"/>
    <w:rsid w:val="007135A1"/>
    <w:rsid w:val="007135FF"/>
    <w:rsid w:val="007136DF"/>
    <w:rsid w:val="007139FA"/>
    <w:rsid w:val="00713F7B"/>
    <w:rsid w:val="007144CB"/>
    <w:rsid w:val="00714693"/>
    <w:rsid w:val="00714745"/>
    <w:rsid w:val="007152B9"/>
    <w:rsid w:val="00715A7C"/>
    <w:rsid w:val="00716265"/>
    <w:rsid w:val="00716427"/>
    <w:rsid w:val="0071663C"/>
    <w:rsid w:val="00716833"/>
    <w:rsid w:val="00716BA7"/>
    <w:rsid w:val="00716DB5"/>
    <w:rsid w:val="0071766D"/>
    <w:rsid w:val="00717926"/>
    <w:rsid w:val="00717DDD"/>
    <w:rsid w:val="007205CE"/>
    <w:rsid w:val="00720DC1"/>
    <w:rsid w:val="00721240"/>
    <w:rsid w:val="00721447"/>
    <w:rsid w:val="00721948"/>
    <w:rsid w:val="00721EC7"/>
    <w:rsid w:val="0072291D"/>
    <w:rsid w:val="00722DDC"/>
    <w:rsid w:val="00722E3D"/>
    <w:rsid w:val="00722F76"/>
    <w:rsid w:val="00724399"/>
    <w:rsid w:val="00724F76"/>
    <w:rsid w:val="00725803"/>
    <w:rsid w:val="00725F98"/>
    <w:rsid w:val="00726183"/>
    <w:rsid w:val="007261C8"/>
    <w:rsid w:val="00726224"/>
    <w:rsid w:val="00726747"/>
    <w:rsid w:val="00726929"/>
    <w:rsid w:val="00726B87"/>
    <w:rsid w:val="00726E7A"/>
    <w:rsid w:val="007270B3"/>
    <w:rsid w:val="007270D0"/>
    <w:rsid w:val="007275CF"/>
    <w:rsid w:val="007276E7"/>
    <w:rsid w:val="0072777F"/>
    <w:rsid w:val="007304A9"/>
    <w:rsid w:val="007307E9"/>
    <w:rsid w:val="007308CF"/>
    <w:rsid w:val="00730C63"/>
    <w:rsid w:val="00730E6F"/>
    <w:rsid w:val="0073108A"/>
    <w:rsid w:val="00731188"/>
    <w:rsid w:val="00731C03"/>
    <w:rsid w:val="00731E92"/>
    <w:rsid w:val="0073219E"/>
    <w:rsid w:val="00732834"/>
    <w:rsid w:val="00733D08"/>
    <w:rsid w:val="00734BA7"/>
    <w:rsid w:val="00734BEA"/>
    <w:rsid w:val="007350EB"/>
    <w:rsid w:val="00735392"/>
    <w:rsid w:val="007358FB"/>
    <w:rsid w:val="00736173"/>
    <w:rsid w:val="00736409"/>
    <w:rsid w:val="007367E3"/>
    <w:rsid w:val="00736B63"/>
    <w:rsid w:val="00736B97"/>
    <w:rsid w:val="00737739"/>
    <w:rsid w:val="00737A79"/>
    <w:rsid w:val="00737E9B"/>
    <w:rsid w:val="007400C0"/>
    <w:rsid w:val="0074033C"/>
    <w:rsid w:val="007408BD"/>
    <w:rsid w:val="00740C81"/>
    <w:rsid w:val="00741423"/>
    <w:rsid w:val="007418B7"/>
    <w:rsid w:val="007426CC"/>
    <w:rsid w:val="007433D0"/>
    <w:rsid w:val="0074369C"/>
    <w:rsid w:val="00743938"/>
    <w:rsid w:val="00743A58"/>
    <w:rsid w:val="00743F93"/>
    <w:rsid w:val="007442B2"/>
    <w:rsid w:val="007446DF"/>
    <w:rsid w:val="007448B6"/>
    <w:rsid w:val="007464B7"/>
    <w:rsid w:val="00746A32"/>
    <w:rsid w:val="00746AEC"/>
    <w:rsid w:val="00746C6F"/>
    <w:rsid w:val="00746CBC"/>
    <w:rsid w:val="007470AC"/>
    <w:rsid w:val="007470FD"/>
    <w:rsid w:val="0074760A"/>
    <w:rsid w:val="00747BCE"/>
    <w:rsid w:val="00747BEC"/>
    <w:rsid w:val="00750902"/>
    <w:rsid w:val="00751107"/>
    <w:rsid w:val="00752024"/>
    <w:rsid w:val="007520CF"/>
    <w:rsid w:val="00752195"/>
    <w:rsid w:val="007521E7"/>
    <w:rsid w:val="00752B66"/>
    <w:rsid w:val="00752B76"/>
    <w:rsid w:val="0075388A"/>
    <w:rsid w:val="00753FBF"/>
    <w:rsid w:val="007551B7"/>
    <w:rsid w:val="00755445"/>
    <w:rsid w:val="0075573F"/>
    <w:rsid w:val="00755784"/>
    <w:rsid w:val="007558A0"/>
    <w:rsid w:val="00755B4C"/>
    <w:rsid w:val="00755F10"/>
    <w:rsid w:val="00755F84"/>
    <w:rsid w:val="00755FBD"/>
    <w:rsid w:val="00756135"/>
    <w:rsid w:val="00756143"/>
    <w:rsid w:val="007567F7"/>
    <w:rsid w:val="00757291"/>
    <w:rsid w:val="00757D29"/>
    <w:rsid w:val="00757F60"/>
    <w:rsid w:val="00760C47"/>
    <w:rsid w:val="00761044"/>
    <w:rsid w:val="007610CE"/>
    <w:rsid w:val="00761334"/>
    <w:rsid w:val="00761402"/>
    <w:rsid w:val="00761BE0"/>
    <w:rsid w:val="0076297A"/>
    <w:rsid w:val="00763221"/>
    <w:rsid w:val="0076322C"/>
    <w:rsid w:val="007633AE"/>
    <w:rsid w:val="007634BC"/>
    <w:rsid w:val="007657F4"/>
    <w:rsid w:val="00765A39"/>
    <w:rsid w:val="00765D55"/>
    <w:rsid w:val="0076655D"/>
    <w:rsid w:val="007668C6"/>
    <w:rsid w:val="00766D98"/>
    <w:rsid w:val="00767004"/>
    <w:rsid w:val="007673D9"/>
    <w:rsid w:val="007675F7"/>
    <w:rsid w:val="0076766F"/>
    <w:rsid w:val="00767AF5"/>
    <w:rsid w:val="00767C66"/>
    <w:rsid w:val="007707C2"/>
    <w:rsid w:val="00770CD6"/>
    <w:rsid w:val="00770D51"/>
    <w:rsid w:val="00771613"/>
    <w:rsid w:val="00771DBF"/>
    <w:rsid w:val="0077244E"/>
    <w:rsid w:val="0077337A"/>
    <w:rsid w:val="00773645"/>
    <w:rsid w:val="007746FB"/>
    <w:rsid w:val="00774D0E"/>
    <w:rsid w:val="00775B2E"/>
    <w:rsid w:val="0077619F"/>
    <w:rsid w:val="00776B9C"/>
    <w:rsid w:val="00777151"/>
    <w:rsid w:val="007773AF"/>
    <w:rsid w:val="00777CAC"/>
    <w:rsid w:val="00777CC7"/>
    <w:rsid w:val="00777D88"/>
    <w:rsid w:val="00777EC9"/>
    <w:rsid w:val="0078071E"/>
    <w:rsid w:val="00780C84"/>
    <w:rsid w:val="00782749"/>
    <w:rsid w:val="007827AB"/>
    <w:rsid w:val="007828A1"/>
    <w:rsid w:val="007829BC"/>
    <w:rsid w:val="00782FEE"/>
    <w:rsid w:val="00783926"/>
    <w:rsid w:val="007848D8"/>
    <w:rsid w:val="00784A27"/>
    <w:rsid w:val="0078526F"/>
    <w:rsid w:val="0078542E"/>
    <w:rsid w:val="00786189"/>
    <w:rsid w:val="007861D7"/>
    <w:rsid w:val="00786296"/>
    <w:rsid w:val="00786C27"/>
    <w:rsid w:val="00787BBF"/>
    <w:rsid w:val="007905C8"/>
    <w:rsid w:val="00790707"/>
    <w:rsid w:val="0079079A"/>
    <w:rsid w:val="00790EC6"/>
    <w:rsid w:val="00791143"/>
    <w:rsid w:val="00791781"/>
    <w:rsid w:val="00791E53"/>
    <w:rsid w:val="007920BB"/>
    <w:rsid w:val="00792930"/>
    <w:rsid w:val="00792EAA"/>
    <w:rsid w:val="0079318A"/>
    <w:rsid w:val="0079380A"/>
    <w:rsid w:val="00793EA7"/>
    <w:rsid w:val="007942CE"/>
    <w:rsid w:val="00794421"/>
    <w:rsid w:val="00794B9B"/>
    <w:rsid w:val="00796398"/>
    <w:rsid w:val="00796590"/>
    <w:rsid w:val="00796749"/>
    <w:rsid w:val="00796A86"/>
    <w:rsid w:val="00797617"/>
    <w:rsid w:val="007A0402"/>
    <w:rsid w:val="007A12A4"/>
    <w:rsid w:val="007A23C2"/>
    <w:rsid w:val="007A2F46"/>
    <w:rsid w:val="007A2F6B"/>
    <w:rsid w:val="007A2FE5"/>
    <w:rsid w:val="007A311C"/>
    <w:rsid w:val="007A319E"/>
    <w:rsid w:val="007A3392"/>
    <w:rsid w:val="007A3469"/>
    <w:rsid w:val="007A3776"/>
    <w:rsid w:val="007A3DC5"/>
    <w:rsid w:val="007A3F28"/>
    <w:rsid w:val="007A3FF9"/>
    <w:rsid w:val="007A4028"/>
    <w:rsid w:val="007A46F8"/>
    <w:rsid w:val="007A4AE2"/>
    <w:rsid w:val="007A4AE6"/>
    <w:rsid w:val="007A5512"/>
    <w:rsid w:val="007A5AB7"/>
    <w:rsid w:val="007A5D56"/>
    <w:rsid w:val="007A648E"/>
    <w:rsid w:val="007A673E"/>
    <w:rsid w:val="007A679A"/>
    <w:rsid w:val="007A6DF9"/>
    <w:rsid w:val="007A6EF6"/>
    <w:rsid w:val="007A7C17"/>
    <w:rsid w:val="007A7D76"/>
    <w:rsid w:val="007B03B3"/>
    <w:rsid w:val="007B0429"/>
    <w:rsid w:val="007B042B"/>
    <w:rsid w:val="007B0D93"/>
    <w:rsid w:val="007B0F9F"/>
    <w:rsid w:val="007B0FE1"/>
    <w:rsid w:val="007B1015"/>
    <w:rsid w:val="007B2443"/>
    <w:rsid w:val="007B25EF"/>
    <w:rsid w:val="007B2942"/>
    <w:rsid w:val="007B2B91"/>
    <w:rsid w:val="007B2DBB"/>
    <w:rsid w:val="007B3905"/>
    <w:rsid w:val="007B43F6"/>
    <w:rsid w:val="007B4C6B"/>
    <w:rsid w:val="007B549D"/>
    <w:rsid w:val="007B5539"/>
    <w:rsid w:val="007B5896"/>
    <w:rsid w:val="007B5921"/>
    <w:rsid w:val="007B5E77"/>
    <w:rsid w:val="007B6498"/>
    <w:rsid w:val="007B6E25"/>
    <w:rsid w:val="007B70F2"/>
    <w:rsid w:val="007B73FB"/>
    <w:rsid w:val="007B7706"/>
    <w:rsid w:val="007B7D8B"/>
    <w:rsid w:val="007C0250"/>
    <w:rsid w:val="007C02A8"/>
    <w:rsid w:val="007C044F"/>
    <w:rsid w:val="007C0845"/>
    <w:rsid w:val="007C0F5B"/>
    <w:rsid w:val="007C15D3"/>
    <w:rsid w:val="007C15E9"/>
    <w:rsid w:val="007C1931"/>
    <w:rsid w:val="007C1C0C"/>
    <w:rsid w:val="007C2111"/>
    <w:rsid w:val="007C22F4"/>
    <w:rsid w:val="007C28E7"/>
    <w:rsid w:val="007C2B66"/>
    <w:rsid w:val="007C2CB0"/>
    <w:rsid w:val="007C2FA4"/>
    <w:rsid w:val="007C3341"/>
    <w:rsid w:val="007C3371"/>
    <w:rsid w:val="007C3679"/>
    <w:rsid w:val="007C441E"/>
    <w:rsid w:val="007C4D83"/>
    <w:rsid w:val="007C4DA7"/>
    <w:rsid w:val="007C51EE"/>
    <w:rsid w:val="007C55DE"/>
    <w:rsid w:val="007C58C6"/>
    <w:rsid w:val="007C5912"/>
    <w:rsid w:val="007C626B"/>
    <w:rsid w:val="007C6345"/>
    <w:rsid w:val="007C63E8"/>
    <w:rsid w:val="007C657A"/>
    <w:rsid w:val="007C666C"/>
    <w:rsid w:val="007C6833"/>
    <w:rsid w:val="007C6B4F"/>
    <w:rsid w:val="007C74BA"/>
    <w:rsid w:val="007C76AD"/>
    <w:rsid w:val="007C79A2"/>
    <w:rsid w:val="007C7A0F"/>
    <w:rsid w:val="007D0688"/>
    <w:rsid w:val="007D06E7"/>
    <w:rsid w:val="007D07D8"/>
    <w:rsid w:val="007D170F"/>
    <w:rsid w:val="007D181D"/>
    <w:rsid w:val="007D19FB"/>
    <w:rsid w:val="007D2128"/>
    <w:rsid w:val="007D267F"/>
    <w:rsid w:val="007D2694"/>
    <w:rsid w:val="007D2C1F"/>
    <w:rsid w:val="007D2DBD"/>
    <w:rsid w:val="007D2E08"/>
    <w:rsid w:val="007D2E4A"/>
    <w:rsid w:val="007D3041"/>
    <w:rsid w:val="007D3299"/>
    <w:rsid w:val="007D32EC"/>
    <w:rsid w:val="007D39AB"/>
    <w:rsid w:val="007D3E75"/>
    <w:rsid w:val="007D44DB"/>
    <w:rsid w:val="007D454F"/>
    <w:rsid w:val="007D4557"/>
    <w:rsid w:val="007D4802"/>
    <w:rsid w:val="007D49EE"/>
    <w:rsid w:val="007D4B66"/>
    <w:rsid w:val="007D5145"/>
    <w:rsid w:val="007D52C4"/>
    <w:rsid w:val="007D5E67"/>
    <w:rsid w:val="007D5F3D"/>
    <w:rsid w:val="007D65B3"/>
    <w:rsid w:val="007D75D0"/>
    <w:rsid w:val="007E0284"/>
    <w:rsid w:val="007E0554"/>
    <w:rsid w:val="007E05CF"/>
    <w:rsid w:val="007E1012"/>
    <w:rsid w:val="007E1069"/>
    <w:rsid w:val="007E109B"/>
    <w:rsid w:val="007E15EE"/>
    <w:rsid w:val="007E17CB"/>
    <w:rsid w:val="007E184B"/>
    <w:rsid w:val="007E1F9E"/>
    <w:rsid w:val="007E2892"/>
    <w:rsid w:val="007E32B0"/>
    <w:rsid w:val="007E32D4"/>
    <w:rsid w:val="007E38A0"/>
    <w:rsid w:val="007E464E"/>
    <w:rsid w:val="007E4B0C"/>
    <w:rsid w:val="007E5392"/>
    <w:rsid w:val="007E5444"/>
    <w:rsid w:val="007E58A4"/>
    <w:rsid w:val="007E6409"/>
    <w:rsid w:val="007E65D7"/>
    <w:rsid w:val="007E68DA"/>
    <w:rsid w:val="007E6C21"/>
    <w:rsid w:val="007E6FE5"/>
    <w:rsid w:val="007E71D1"/>
    <w:rsid w:val="007E7871"/>
    <w:rsid w:val="007E78B6"/>
    <w:rsid w:val="007E7AE1"/>
    <w:rsid w:val="007F0F1C"/>
    <w:rsid w:val="007F1075"/>
    <w:rsid w:val="007F12F2"/>
    <w:rsid w:val="007F2368"/>
    <w:rsid w:val="007F3305"/>
    <w:rsid w:val="007F351B"/>
    <w:rsid w:val="007F3920"/>
    <w:rsid w:val="007F4047"/>
    <w:rsid w:val="007F42E4"/>
    <w:rsid w:val="007F486A"/>
    <w:rsid w:val="007F4995"/>
    <w:rsid w:val="007F4D89"/>
    <w:rsid w:val="007F4ED6"/>
    <w:rsid w:val="007F504C"/>
    <w:rsid w:val="007F5378"/>
    <w:rsid w:val="007F550A"/>
    <w:rsid w:val="007F5923"/>
    <w:rsid w:val="007F5936"/>
    <w:rsid w:val="007F5A4F"/>
    <w:rsid w:val="007F5CE5"/>
    <w:rsid w:val="007F5DFD"/>
    <w:rsid w:val="007F6296"/>
    <w:rsid w:val="007F64B9"/>
    <w:rsid w:val="007F6575"/>
    <w:rsid w:val="007F6A12"/>
    <w:rsid w:val="007F6C26"/>
    <w:rsid w:val="007F71E8"/>
    <w:rsid w:val="007F78D9"/>
    <w:rsid w:val="00800A6D"/>
    <w:rsid w:val="00800DB6"/>
    <w:rsid w:val="00801515"/>
    <w:rsid w:val="00801582"/>
    <w:rsid w:val="00801639"/>
    <w:rsid w:val="008017B1"/>
    <w:rsid w:val="008018B9"/>
    <w:rsid w:val="00801C2C"/>
    <w:rsid w:val="00802908"/>
    <w:rsid w:val="00802C3B"/>
    <w:rsid w:val="00803901"/>
    <w:rsid w:val="00803F7E"/>
    <w:rsid w:val="00803F99"/>
    <w:rsid w:val="00804891"/>
    <w:rsid w:val="008048DD"/>
    <w:rsid w:val="00804922"/>
    <w:rsid w:val="00805230"/>
    <w:rsid w:val="0080548A"/>
    <w:rsid w:val="00806AD0"/>
    <w:rsid w:val="00807097"/>
    <w:rsid w:val="0080745B"/>
    <w:rsid w:val="0080793E"/>
    <w:rsid w:val="00807D00"/>
    <w:rsid w:val="00807D8E"/>
    <w:rsid w:val="00807F5E"/>
    <w:rsid w:val="008104F8"/>
    <w:rsid w:val="00810B7F"/>
    <w:rsid w:val="00811C59"/>
    <w:rsid w:val="00812037"/>
    <w:rsid w:val="008120C4"/>
    <w:rsid w:val="008128F4"/>
    <w:rsid w:val="00812C7D"/>
    <w:rsid w:val="008131D5"/>
    <w:rsid w:val="00813CBD"/>
    <w:rsid w:val="00814187"/>
    <w:rsid w:val="0081432A"/>
    <w:rsid w:val="008147B8"/>
    <w:rsid w:val="00815181"/>
    <w:rsid w:val="00816084"/>
    <w:rsid w:val="0081653D"/>
    <w:rsid w:val="00816A14"/>
    <w:rsid w:val="00816B7E"/>
    <w:rsid w:val="00816DAC"/>
    <w:rsid w:val="00817180"/>
    <w:rsid w:val="00817A41"/>
    <w:rsid w:val="00817AA9"/>
    <w:rsid w:val="00817BE4"/>
    <w:rsid w:val="00820311"/>
    <w:rsid w:val="00821427"/>
    <w:rsid w:val="00821C6E"/>
    <w:rsid w:val="008222B4"/>
    <w:rsid w:val="008222F1"/>
    <w:rsid w:val="008223EB"/>
    <w:rsid w:val="008224C1"/>
    <w:rsid w:val="008230DC"/>
    <w:rsid w:val="00823A31"/>
    <w:rsid w:val="00823B8F"/>
    <w:rsid w:val="00823E70"/>
    <w:rsid w:val="00824DFB"/>
    <w:rsid w:val="008251F7"/>
    <w:rsid w:val="0082615C"/>
    <w:rsid w:val="008277C5"/>
    <w:rsid w:val="00827C5D"/>
    <w:rsid w:val="0083052A"/>
    <w:rsid w:val="008308F4"/>
    <w:rsid w:val="00831065"/>
    <w:rsid w:val="008313AC"/>
    <w:rsid w:val="0083216D"/>
    <w:rsid w:val="00832EBC"/>
    <w:rsid w:val="00832EE8"/>
    <w:rsid w:val="00832EFA"/>
    <w:rsid w:val="008335E3"/>
    <w:rsid w:val="00833958"/>
    <w:rsid w:val="00833A4F"/>
    <w:rsid w:val="00833ADD"/>
    <w:rsid w:val="00833B52"/>
    <w:rsid w:val="00833CA5"/>
    <w:rsid w:val="00833FB3"/>
    <w:rsid w:val="00834165"/>
    <w:rsid w:val="008341C3"/>
    <w:rsid w:val="00834350"/>
    <w:rsid w:val="00834C5A"/>
    <w:rsid w:val="00834C7A"/>
    <w:rsid w:val="008354F9"/>
    <w:rsid w:val="00835714"/>
    <w:rsid w:val="00836157"/>
    <w:rsid w:val="00836396"/>
    <w:rsid w:val="00836414"/>
    <w:rsid w:val="008370D5"/>
    <w:rsid w:val="008372B0"/>
    <w:rsid w:val="00837689"/>
    <w:rsid w:val="00837699"/>
    <w:rsid w:val="008377B4"/>
    <w:rsid w:val="00837EBD"/>
    <w:rsid w:val="00840384"/>
    <w:rsid w:val="008404DB"/>
    <w:rsid w:val="00840994"/>
    <w:rsid w:val="00840C61"/>
    <w:rsid w:val="008414AB"/>
    <w:rsid w:val="0084169D"/>
    <w:rsid w:val="00841BAB"/>
    <w:rsid w:val="00841C00"/>
    <w:rsid w:val="00842068"/>
    <w:rsid w:val="00842862"/>
    <w:rsid w:val="008430ED"/>
    <w:rsid w:val="008431D4"/>
    <w:rsid w:val="00843C3E"/>
    <w:rsid w:val="00843F2C"/>
    <w:rsid w:val="008440B4"/>
    <w:rsid w:val="008446B8"/>
    <w:rsid w:val="00844C3C"/>
    <w:rsid w:val="00844CE8"/>
    <w:rsid w:val="00845421"/>
    <w:rsid w:val="008454C8"/>
    <w:rsid w:val="00845716"/>
    <w:rsid w:val="008457F5"/>
    <w:rsid w:val="00845C8D"/>
    <w:rsid w:val="00846AB1"/>
    <w:rsid w:val="00846B3F"/>
    <w:rsid w:val="00846ECC"/>
    <w:rsid w:val="00846FBC"/>
    <w:rsid w:val="0084770B"/>
    <w:rsid w:val="00847B96"/>
    <w:rsid w:val="00847E71"/>
    <w:rsid w:val="00847EA7"/>
    <w:rsid w:val="008511CC"/>
    <w:rsid w:val="00851400"/>
    <w:rsid w:val="00851A49"/>
    <w:rsid w:val="00851B93"/>
    <w:rsid w:val="008524F2"/>
    <w:rsid w:val="00852E11"/>
    <w:rsid w:val="0085306E"/>
    <w:rsid w:val="00853851"/>
    <w:rsid w:val="0085395D"/>
    <w:rsid w:val="008539E0"/>
    <w:rsid w:val="00853BD2"/>
    <w:rsid w:val="00853EA4"/>
    <w:rsid w:val="00854377"/>
    <w:rsid w:val="00855957"/>
    <w:rsid w:val="00855CF8"/>
    <w:rsid w:val="00856480"/>
    <w:rsid w:val="008564B5"/>
    <w:rsid w:val="00856968"/>
    <w:rsid w:val="008570E7"/>
    <w:rsid w:val="008572E5"/>
    <w:rsid w:val="00857652"/>
    <w:rsid w:val="00857C3B"/>
    <w:rsid w:val="00857FD9"/>
    <w:rsid w:val="00860266"/>
    <w:rsid w:val="00860C94"/>
    <w:rsid w:val="0086171B"/>
    <w:rsid w:val="00861BD7"/>
    <w:rsid w:val="00862036"/>
    <w:rsid w:val="0086218C"/>
    <w:rsid w:val="0086238F"/>
    <w:rsid w:val="0086308F"/>
    <w:rsid w:val="0086316B"/>
    <w:rsid w:val="00863310"/>
    <w:rsid w:val="008633FE"/>
    <w:rsid w:val="00863C40"/>
    <w:rsid w:val="00863CBD"/>
    <w:rsid w:val="008641B4"/>
    <w:rsid w:val="00864453"/>
    <w:rsid w:val="008644F7"/>
    <w:rsid w:val="008648CF"/>
    <w:rsid w:val="008648EB"/>
    <w:rsid w:val="00864CD3"/>
    <w:rsid w:val="00865049"/>
    <w:rsid w:val="0086512A"/>
    <w:rsid w:val="00865343"/>
    <w:rsid w:val="008655C7"/>
    <w:rsid w:val="00865AD6"/>
    <w:rsid w:val="00865E74"/>
    <w:rsid w:val="008663BE"/>
    <w:rsid w:val="00866C1E"/>
    <w:rsid w:val="00866D67"/>
    <w:rsid w:val="00867138"/>
    <w:rsid w:val="00867743"/>
    <w:rsid w:val="008709C5"/>
    <w:rsid w:val="00870D0C"/>
    <w:rsid w:val="00870FDA"/>
    <w:rsid w:val="0087179B"/>
    <w:rsid w:val="00871DD9"/>
    <w:rsid w:val="00872C5B"/>
    <w:rsid w:val="008734A4"/>
    <w:rsid w:val="008737C2"/>
    <w:rsid w:val="00873DD9"/>
    <w:rsid w:val="00873E36"/>
    <w:rsid w:val="008740E7"/>
    <w:rsid w:val="0087420F"/>
    <w:rsid w:val="00874E81"/>
    <w:rsid w:val="00874EB0"/>
    <w:rsid w:val="00874FAD"/>
    <w:rsid w:val="0087644D"/>
    <w:rsid w:val="008765CF"/>
    <w:rsid w:val="008765DA"/>
    <w:rsid w:val="008766B7"/>
    <w:rsid w:val="008769E1"/>
    <w:rsid w:val="0087715E"/>
    <w:rsid w:val="008772B4"/>
    <w:rsid w:val="0087764C"/>
    <w:rsid w:val="00877FF8"/>
    <w:rsid w:val="0088012B"/>
    <w:rsid w:val="0088037F"/>
    <w:rsid w:val="008807DC"/>
    <w:rsid w:val="00880805"/>
    <w:rsid w:val="00881056"/>
    <w:rsid w:val="00881571"/>
    <w:rsid w:val="00881612"/>
    <w:rsid w:val="00882494"/>
    <w:rsid w:val="008826EC"/>
    <w:rsid w:val="00882CEB"/>
    <w:rsid w:val="00882EB4"/>
    <w:rsid w:val="00883C4D"/>
    <w:rsid w:val="008843EF"/>
    <w:rsid w:val="00884EA0"/>
    <w:rsid w:val="00884F61"/>
    <w:rsid w:val="00885EAD"/>
    <w:rsid w:val="00886878"/>
    <w:rsid w:val="0088736B"/>
    <w:rsid w:val="008873E9"/>
    <w:rsid w:val="00887666"/>
    <w:rsid w:val="00890AED"/>
    <w:rsid w:val="00891122"/>
    <w:rsid w:val="00891397"/>
    <w:rsid w:val="0089148B"/>
    <w:rsid w:val="0089186D"/>
    <w:rsid w:val="00891F30"/>
    <w:rsid w:val="00892867"/>
    <w:rsid w:val="0089304B"/>
    <w:rsid w:val="00893411"/>
    <w:rsid w:val="00893F51"/>
    <w:rsid w:val="00894E02"/>
    <w:rsid w:val="0089501E"/>
    <w:rsid w:val="0089591F"/>
    <w:rsid w:val="00895DE0"/>
    <w:rsid w:val="00897034"/>
    <w:rsid w:val="008979D3"/>
    <w:rsid w:val="00897ABD"/>
    <w:rsid w:val="00897CDE"/>
    <w:rsid w:val="008A0035"/>
    <w:rsid w:val="008A0106"/>
    <w:rsid w:val="008A0155"/>
    <w:rsid w:val="008A044E"/>
    <w:rsid w:val="008A0554"/>
    <w:rsid w:val="008A0F89"/>
    <w:rsid w:val="008A142B"/>
    <w:rsid w:val="008A176A"/>
    <w:rsid w:val="008A2592"/>
    <w:rsid w:val="008A293E"/>
    <w:rsid w:val="008A3142"/>
    <w:rsid w:val="008A3588"/>
    <w:rsid w:val="008A36AC"/>
    <w:rsid w:val="008A393E"/>
    <w:rsid w:val="008A3E74"/>
    <w:rsid w:val="008A4098"/>
    <w:rsid w:val="008A415A"/>
    <w:rsid w:val="008A4725"/>
    <w:rsid w:val="008A48BE"/>
    <w:rsid w:val="008A4BC0"/>
    <w:rsid w:val="008A520C"/>
    <w:rsid w:val="008A5BB7"/>
    <w:rsid w:val="008A5D96"/>
    <w:rsid w:val="008A6356"/>
    <w:rsid w:val="008A669A"/>
    <w:rsid w:val="008A7743"/>
    <w:rsid w:val="008A7B25"/>
    <w:rsid w:val="008B023F"/>
    <w:rsid w:val="008B0280"/>
    <w:rsid w:val="008B033F"/>
    <w:rsid w:val="008B0405"/>
    <w:rsid w:val="008B06A1"/>
    <w:rsid w:val="008B08C9"/>
    <w:rsid w:val="008B0956"/>
    <w:rsid w:val="008B0A76"/>
    <w:rsid w:val="008B18DC"/>
    <w:rsid w:val="008B20E2"/>
    <w:rsid w:val="008B22D4"/>
    <w:rsid w:val="008B2699"/>
    <w:rsid w:val="008B2DAE"/>
    <w:rsid w:val="008B33B5"/>
    <w:rsid w:val="008B34FA"/>
    <w:rsid w:val="008B3985"/>
    <w:rsid w:val="008B4174"/>
    <w:rsid w:val="008B477F"/>
    <w:rsid w:val="008B4E9E"/>
    <w:rsid w:val="008B502F"/>
    <w:rsid w:val="008B50D0"/>
    <w:rsid w:val="008B55D1"/>
    <w:rsid w:val="008B5D9C"/>
    <w:rsid w:val="008B5E46"/>
    <w:rsid w:val="008B6891"/>
    <w:rsid w:val="008B6CE8"/>
    <w:rsid w:val="008B7CF2"/>
    <w:rsid w:val="008C0097"/>
    <w:rsid w:val="008C0F94"/>
    <w:rsid w:val="008C1140"/>
    <w:rsid w:val="008C135F"/>
    <w:rsid w:val="008C1733"/>
    <w:rsid w:val="008C1D43"/>
    <w:rsid w:val="008C1E08"/>
    <w:rsid w:val="008C22EE"/>
    <w:rsid w:val="008C23FB"/>
    <w:rsid w:val="008C2458"/>
    <w:rsid w:val="008C2686"/>
    <w:rsid w:val="008C2C68"/>
    <w:rsid w:val="008C2CE3"/>
    <w:rsid w:val="008C2F11"/>
    <w:rsid w:val="008C352F"/>
    <w:rsid w:val="008C3868"/>
    <w:rsid w:val="008C3AB7"/>
    <w:rsid w:val="008C421A"/>
    <w:rsid w:val="008C43E9"/>
    <w:rsid w:val="008C457B"/>
    <w:rsid w:val="008C4600"/>
    <w:rsid w:val="008C47CB"/>
    <w:rsid w:val="008C4B3D"/>
    <w:rsid w:val="008C4C26"/>
    <w:rsid w:val="008C4E84"/>
    <w:rsid w:val="008C4F0A"/>
    <w:rsid w:val="008C55AF"/>
    <w:rsid w:val="008C5966"/>
    <w:rsid w:val="008C5F2A"/>
    <w:rsid w:val="008C60FB"/>
    <w:rsid w:val="008C6B95"/>
    <w:rsid w:val="008C79A6"/>
    <w:rsid w:val="008C7D6D"/>
    <w:rsid w:val="008D001E"/>
    <w:rsid w:val="008D00B1"/>
    <w:rsid w:val="008D074A"/>
    <w:rsid w:val="008D0B67"/>
    <w:rsid w:val="008D24DD"/>
    <w:rsid w:val="008D308D"/>
    <w:rsid w:val="008D3453"/>
    <w:rsid w:val="008D35A2"/>
    <w:rsid w:val="008D3B1B"/>
    <w:rsid w:val="008D3E2A"/>
    <w:rsid w:val="008D463C"/>
    <w:rsid w:val="008D4962"/>
    <w:rsid w:val="008D5726"/>
    <w:rsid w:val="008D601C"/>
    <w:rsid w:val="008D6415"/>
    <w:rsid w:val="008D6F83"/>
    <w:rsid w:val="008D6FCE"/>
    <w:rsid w:val="008D706D"/>
    <w:rsid w:val="008D7DB2"/>
    <w:rsid w:val="008E0126"/>
    <w:rsid w:val="008E064A"/>
    <w:rsid w:val="008E0A22"/>
    <w:rsid w:val="008E0DF4"/>
    <w:rsid w:val="008E20AA"/>
    <w:rsid w:val="008E20BD"/>
    <w:rsid w:val="008E2B50"/>
    <w:rsid w:val="008E2F4B"/>
    <w:rsid w:val="008E3437"/>
    <w:rsid w:val="008E3902"/>
    <w:rsid w:val="008E39FB"/>
    <w:rsid w:val="008E3A40"/>
    <w:rsid w:val="008E3A6F"/>
    <w:rsid w:val="008E3BE3"/>
    <w:rsid w:val="008E3D1F"/>
    <w:rsid w:val="008E3F30"/>
    <w:rsid w:val="008E4D89"/>
    <w:rsid w:val="008E4DE5"/>
    <w:rsid w:val="008E50F8"/>
    <w:rsid w:val="008E5182"/>
    <w:rsid w:val="008E570F"/>
    <w:rsid w:val="008E5723"/>
    <w:rsid w:val="008E5C00"/>
    <w:rsid w:val="008E5EDD"/>
    <w:rsid w:val="008E6391"/>
    <w:rsid w:val="008E675E"/>
    <w:rsid w:val="008E685D"/>
    <w:rsid w:val="008E78B8"/>
    <w:rsid w:val="008E7D6C"/>
    <w:rsid w:val="008F001A"/>
    <w:rsid w:val="008F0268"/>
    <w:rsid w:val="008F0372"/>
    <w:rsid w:val="008F172E"/>
    <w:rsid w:val="008F1745"/>
    <w:rsid w:val="008F1898"/>
    <w:rsid w:val="008F1AA6"/>
    <w:rsid w:val="008F280D"/>
    <w:rsid w:val="008F29AC"/>
    <w:rsid w:val="008F2D69"/>
    <w:rsid w:val="008F2D6F"/>
    <w:rsid w:val="008F2E6B"/>
    <w:rsid w:val="008F3DB9"/>
    <w:rsid w:val="008F40CC"/>
    <w:rsid w:val="008F4DF8"/>
    <w:rsid w:val="008F5B50"/>
    <w:rsid w:val="008F649E"/>
    <w:rsid w:val="008F720A"/>
    <w:rsid w:val="008F757F"/>
    <w:rsid w:val="00900057"/>
    <w:rsid w:val="00900EBE"/>
    <w:rsid w:val="00901259"/>
    <w:rsid w:val="0090140D"/>
    <w:rsid w:val="00901BED"/>
    <w:rsid w:val="00901CAF"/>
    <w:rsid w:val="00902C51"/>
    <w:rsid w:val="00902CD7"/>
    <w:rsid w:val="009033B2"/>
    <w:rsid w:val="00903BB0"/>
    <w:rsid w:val="00904679"/>
    <w:rsid w:val="00905B5F"/>
    <w:rsid w:val="00905CB0"/>
    <w:rsid w:val="00905DCF"/>
    <w:rsid w:val="00906B12"/>
    <w:rsid w:val="00907351"/>
    <w:rsid w:val="009076A2"/>
    <w:rsid w:val="009101D8"/>
    <w:rsid w:val="0091044B"/>
    <w:rsid w:val="009104E1"/>
    <w:rsid w:val="0091293D"/>
    <w:rsid w:val="00912E6D"/>
    <w:rsid w:val="0091318C"/>
    <w:rsid w:val="00914A78"/>
    <w:rsid w:val="00914B28"/>
    <w:rsid w:val="00914E15"/>
    <w:rsid w:val="009154ED"/>
    <w:rsid w:val="009156C4"/>
    <w:rsid w:val="0091593A"/>
    <w:rsid w:val="009159F1"/>
    <w:rsid w:val="00915E6F"/>
    <w:rsid w:val="0091623B"/>
    <w:rsid w:val="00916517"/>
    <w:rsid w:val="0091677F"/>
    <w:rsid w:val="009167CC"/>
    <w:rsid w:val="00916A56"/>
    <w:rsid w:val="00916FA8"/>
    <w:rsid w:val="00917186"/>
    <w:rsid w:val="00917EB2"/>
    <w:rsid w:val="0092032F"/>
    <w:rsid w:val="009209D5"/>
    <w:rsid w:val="0092109E"/>
    <w:rsid w:val="009210AD"/>
    <w:rsid w:val="009212D5"/>
    <w:rsid w:val="0092175B"/>
    <w:rsid w:val="0092228B"/>
    <w:rsid w:val="00922380"/>
    <w:rsid w:val="00922E5A"/>
    <w:rsid w:val="00923192"/>
    <w:rsid w:val="0092372D"/>
    <w:rsid w:val="00923C5E"/>
    <w:rsid w:val="00923FD6"/>
    <w:rsid w:val="009243C6"/>
    <w:rsid w:val="0092490A"/>
    <w:rsid w:val="00924FDB"/>
    <w:rsid w:val="00925394"/>
    <w:rsid w:val="009254ED"/>
    <w:rsid w:val="00925A4F"/>
    <w:rsid w:val="00925E8E"/>
    <w:rsid w:val="0092610A"/>
    <w:rsid w:val="009265FF"/>
    <w:rsid w:val="009272D1"/>
    <w:rsid w:val="00927527"/>
    <w:rsid w:val="00927893"/>
    <w:rsid w:val="00927F35"/>
    <w:rsid w:val="00927F6C"/>
    <w:rsid w:val="00930A44"/>
    <w:rsid w:val="00930D5A"/>
    <w:rsid w:val="00930DB4"/>
    <w:rsid w:val="00930DD5"/>
    <w:rsid w:val="00930DEA"/>
    <w:rsid w:val="00930F57"/>
    <w:rsid w:val="00930F77"/>
    <w:rsid w:val="009312D1"/>
    <w:rsid w:val="00931D2C"/>
    <w:rsid w:val="00932457"/>
    <w:rsid w:val="009329CA"/>
    <w:rsid w:val="00932D01"/>
    <w:rsid w:val="00933476"/>
    <w:rsid w:val="00933826"/>
    <w:rsid w:val="00933EC0"/>
    <w:rsid w:val="00933F18"/>
    <w:rsid w:val="00934AF9"/>
    <w:rsid w:val="00934DCC"/>
    <w:rsid w:val="00935158"/>
    <w:rsid w:val="00935463"/>
    <w:rsid w:val="0093568E"/>
    <w:rsid w:val="009363B7"/>
    <w:rsid w:val="00936679"/>
    <w:rsid w:val="0093698D"/>
    <w:rsid w:val="009372C9"/>
    <w:rsid w:val="00937637"/>
    <w:rsid w:val="009379FE"/>
    <w:rsid w:val="00937D5B"/>
    <w:rsid w:val="009400B5"/>
    <w:rsid w:val="00940C74"/>
    <w:rsid w:val="00940D78"/>
    <w:rsid w:val="009413FC"/>
    <w:rsid w:val="00941583"/>
    <w:rsid w:val="009417ED"/>
    <w:rsid w:val="009419FD"/>
    <w:rsid w:val="00942284"/>
    <w:rsid w:val="00942B0C"/>
    <w:rsid w:val="009431C0"/>
    <w:rsid w:val="00943263"/>
    <w:rsid w:val="00943420"/>
    <w:rsid w:val="009435D6"/>
    <w:rsid w:val="00943A01"/>
    <w:rsid w:val="00944827"/>
    <w:rsid w:val="00944B24"/>
    <w:rsid w:val="00944C22"/>
    <w:rsid w:val="0094567D"/>
    <w:rsid w:val="009460D0"/>
    <w:rsid w:val="00946110"/>
    <w:rsid w:val="00947139"/>
    <w:rsid w:val="009473E6"/>
    <w:rsid w:val="009473F4"/>
    <w:rsid w:val="00947426"/>
    <w:rsid w:val="009479A7"/>
    <w:rsid w:val="00947A95"/>
    <w:rsid w:val="00947E71"/>
    <w:rsid w:val="00950737"/>
    <w:rsid w:val="0095097E"/>
    <w:rsid w:val="00950AF0"/>
    <w:rsid w:val="009511B8"/>
    <w:rsid w:val="00951276"/>
    <w:rsid w:val="00951B54"/>
    <w:rsid w:val="00951D5A"/>
    <w:rsid w:val="009526DE"/>
    <w:rsid w:val="00953418"/>
    <w:rsid w:val="0095376B"/>
    <w:rsid w:val="00953A01"/>
    <w:rsid w:val="00953A93"/>
    <w:rsid w:val="00953CE9"/>
    <w:rsid w:val="00954964"/>
    <w:rsid w:val="00955324"/>
    <w:rsid w:val="009555D1"/>
    <w:rsid w:val="009557C6"/>
    <w:rsid w:val="00955BB8"/>
    <w:rsid w:val="00955D49"/>
    <w:rsid w:val="00955EB3"/>
    <w:rsid w:val="009562DF"/>
    <w:rsid w:val="00956532"/>
    <w:rsid w:val="00956830"/>
    <w:rsid w:val="00956AE3"/>
    <w:rsid w:val="0095720B"/>
    <w:rsid w:val="009576B1"/>
    <w:rsid w:val="00957BBC"/>
    <w:rsid w:val="0096026C"/>
    <w:rsid w:val="009606B2"/>
    <w:rsid w:val="00960F33"/>
    <w:rsid w:val="00961425"/>
    <w:rsid w:val="00961A4C"/>
    <w:rsid w:val="00961C52"/>
    <w:rsid w:val="00962060"/>
    <w:rsid w:val="00962725"/>
    <w:rsid w:val="00962A60"/>
    <w:rsid w:val="00962CC6"/>
    <w:rsid w:val="00963555"/>
    <w:rsid w:val="0096411E"/>
    <w:rsid w:val="0096474F"/>
    <w:rsid w:val="00964ADA"/>
    <w:rsid w:val="00964B76"/>
    <w:rsid w:val="009654C7"/>
    <w:rsid w:val="0096698B"/>
    <w:rsid w:val="0096737B"/>
    <w:rsid w:val="00967A6B"/>
    <w:rsid w:val="00967D50"/>
    <w:rsid w:val="00970061"/>
    <w:rsid w:val="00971A7A"/>
    <w:rsid w:val="00971EFC"/>
    <w:rsid w:val="009732A8"/>
    <w:rsid w:val="009733D0"/>
    <w:rsid w:val="009734F8"/>
    <w:rsid w:val="009737BC"/>
    <w:rsid w:val="00974196"/>
    <w:rsid w:val="009744C9"/>
    <w:rsid w:val="00974CCF"/>
    <w:rsid w:val="009750D8"/>
    <w:rsid w:val="009752CF"/>
    <w:rsid w:val="00975631"/>
    <w:rsid w:val="00976034"/>
    <w:rsid w:val="00976933"/>
    <w:rsid w:val="00976D4E"/>
    <w:rsid w:val="00976E42"/>
    <w:rsid w:val="00976EB7"/>
    <w:rsid w:val="009772CA"/>
    <w:rsid w:val="00977FF6"/>
    <w:rsid w:val="009803A2"/>
    <w:rsid w:val="009803A7"/>
    <w:rsid w:val="009804E9"/>
    <w:rsid w:val="00980A47"/>
    <w:rsid w:val="00980C37"/>
    <w:rsid w:val="00981302"/>
    <w:rsid w:val="00981417"/>
    <w:rsid w:val="00981711"/>
    <w:rsid w:val="00981F1A"/>
    <w:rsid w:val="009822BF"/>
    <w:rsid w:val="00982381"/>
    <w:rsid w:val="009826A7"/>
    <w:rsid w:val="009827B3"/>
    <w:rsid w:val="009828EF"/>
    <w:rsid w:val="009829DE"/>
    <w:rsid w:val="0098326E"/>
    <w:rsid w:val="009835F3"/>
    <w:rsid w:val="00983754"/>
    <w:rsid w:val="009838BE"/>
    <w:rsid w:val="00983A49"/>
    <w:rsid w:val="00983D83"/>
    <w:rsid w:val="00983DE0"/>
    <w:rsid w:val="0098426C"/>
    <w:rsid w:val="00984CA7"/>
    <w:rsid w:val="00984F6A"/>
    <w:rsid w:val="00985A99"/>
    <w:rsid w:val="00985D4B"/>
    <w:rsid w:val="00985FC5"/>
    <w:rsid w:val="00986EAB"/>
    <w:rsid w:val="00987301"/>
    <w:rsid w:val="009877C2"/>
    <w:rsid w:val="00991005"/>
    <w:rsid w:val="009914D8"/>
    <w:rsid w:val="009919F5"/>
    <w:rsid w:val="00991CFA"/>
    <w:rsid w:val="009921DC"/>
    <w:rsid w:val="00992601"/>
    <w:rsid w:val="00992737"/>
    <w:rsid w:val="00992773"/>
    <w:rsid w:val="009931C0"/>
    <w:rsid w:val="00993F9C"/>
    <w:rsid w:val="00994177"/>
    <w:rsid w:val="009942B9"/>
    <w:rsid w:val="009946A7"/>
    <w:rsid w:val="009946DD"/>
    <w:rsid w:val="0099483A"/>
    <w:rsid w:val="00995013"/>
    <w:rsid w:val="00995DD5"/>
    <w:rsid w:val="00995DF0"/>
    <w:rsid w:val="00995EBE"/>
    <w:rsid w:val="009963BB"/>
    <w:rsid w:val="00996581"/>
    <w:rsid w:val="00996985"/>
    <w:rsid w:val="00997387"/>
    <w:rsid w:val="0099757B"/>
    <w:rsid w:val="009A0844"/>
    <w:rsid w:val="009A08B3"/>
    <w:rsid w:val="009A1C48"/>
    <w:rsid w:val="009A2030"/>
    <w:rsid w:val="009A21E6"/>
    <w:rsid w:val="009A26BA"/>
    <w:rsid w:val="009A2874"/>
    <w:rsid w:val="009A33EF"/>
    <w:rsid w:val="009A3415"/>
    <w:rsid w:val="009A352F"/>
    <w:rsid w:val="009A47D7"/>
    <w:rsid w:val="009A4CE2"/>
    <w:rsid w:val="009A578E"/>
    <w:rsid w:val="009A5A40"/>
    <w:rsid w:val="009A5B55"/>
    <w:rsid w:val="009A5CAD"/>
    <w:rsid w:val="009A5E4F"/>
    <w:rsid w:val="009A60E1"/>
    <w:rsid w:val="009A69CD"/>
    <w:rsid w:val="009A6EE2"/>
    <w:rsid w:val="009A7B26"/>
    <w:rsid w:val="009B0261"/>
    <w:rsid w:val="009B033D"/>
    <w:rsid w:val="009B051A"/>
    <w:rsid w:val="009B0553"/>
    <w:rsid w:val="009B15B3"/>
    <w:rsid w:val="009B2786"/>
    <w:rsid w:val="009B2BF2"/>
    <w:rsid w:val="009B2F00"/>
    <w:rsid w:val="009B31DB"/>
    <w:rsid w:val="009B333E"/>
    <w:rsid w:val="009B33D0"/>
    <w:rsid w:val="009B3595"/>
    <w:rsid w:val="009B37DD"/>
    <w:rsid w:val="009B3B86"/>
    <w:rsid w:val="009B3B9C"/>
    <w:rsid w:val="009B4242"/>
    <w:rsid w:val="009B46E3"/>
    <w:rsid w:val="009B472D"/>
    <w:rsid w:val="009B4AE3"/>
    <w:rsid w:val="009B4E93"/>
    <w:rsid w:val="009B54B0"/>
    <w:rsid w:val="009B5AE6"/>
    <w:rsid w:val="009B6209"/>
    <w:rsid w:val="009B6311"/>
    <w:rsid w:val="009B6796"/>
    <w:rsid w:val="009B6839"/>
    <w:rsid w:val="009B6C1D"/>
    <w:rsid w:val="009B6E57"/>
    <w:rsid w:val="009B7235"/>
    <w:rsid w:val="009B7465"/>
    <w:rsid w:val="009B7DD0"/>
    <w:rsid w:val="009C0D78"/>
    <w:rsid w:val="009C11E9"/>
    <w:rsid w:val="009C1851"/>
    <w:rsid w:val="009C2349"/>
    <w:rsid w:val="009C23FA"/>
    <w:rsid w:val="009C258E"/>
    <w:rsid w:val="009C2AB5"/>
    <w:rsid w:val="009C2EA7"/>
    <w:rsid w:val="009C30BB"/>
    <w:rsid w:val="009C31DD"/>
    <w:rsid w:val="009C3320"/>
    <w:rsid w:val="009C356E"/>
    <w:rsid w:val="009C36BB"/>
    <w:rsid w:val="009C37B5"/>
    <w:rsid w:val="009C3953"/>
    <w:rsid w:val="009C3FBE"/>
    <w:rsid w:val="009C4F8C"/>
    <w:rsid w:val="009C5751"/>
    <w:rsid w:val="009C5878"/>
    <w:rsid w:val="009C60C3"/>
    <w:rsid w:val="009C66E2"/>
    <w:rsid w:val="009C6B98"/>
    <w:rsid w:val="009C70BF"/>
    <w:rsid w:val="009C7215"/>
    <w:rsid w:val="009C72AE"/>
    <w:rsid w:val="009C75CE"/>
    <w:rsid w:val="009C7C0C"/>
    <w:rsid w:val="009D0354"/>
    <w:rsid w:val="009D068C"/>
    <w:rsid w:val="009D08DF"/>
    <w:rsid w:val="009D0FD3"/>
    <w:rsid w:val="009D1756"/>
    <w:rsid w:val="009D18DE"/>
    <w:rsid w:val="009D1A21"/>
    <w:rsid w:val="009D292B"/>
    <w:rsid w:val="009D3C65"/>
    <w:rsid w:val="009D3E93"/>
    <w:rsid w:val="009D3FBB"/>
    <w:rsid w:val="009D41C8"/>
    <w:rsid w:val="009D457F"/>
    <w:rsid w:val="009D46C5"/>
    <w:rsid w:val="009D587B"/>
    <w:rsid w:val="009D60E3"/>
    <w:rsid w:val="009D65B7"/>
    <w:rsid w:val="009D70E5"/>
    <w:rsid w:val="009D717F"/>
    <w:rsid w:val="009D738D"/>
    <w:rsid w:val="009D753D"/>
    <w:rsid w:val="009D7816"/>
    <w:rsid w:val="009D79FE"/>
    <w:rsid w:val="009D7D15"/>
    <w:rsid w:val="009E03BD"/>
    <w:rsid w:val="009E0E8C"/>
    <w:rsid w:val="009E199C"/>
    <w:rsid w:val="009E25B8"/>
    <w:rsid w:val="009E28C7"/>
    <w:rsid w:val="009E2998"/>
    <w:rsid w:val="009E2B01"/>
    <w:rsid w:val="009E2D0A"/>
    <w:rsid w:val="009E2EC9"/>
    <w:rsid w:val="009E2F35"/>
    <w:rsid w:val="009E3092"/>
    <w:rsid w:val="009E3E43"/>
    <w:rsid w:val="009E4912"/>
    <w:rsid w:val="009E4BF9"/>
    <w:rsid w:val="009E5697"/>
    <w:rsid w:val="009E605F"/>
    <w:rsid w:val="009E6126"/>
    <w:rsid w:val="009E6614"/>
    <w:rsid w:val="009E669D"/>
    <w:rsid w:val="009E7242"/>
    <w:rsid w:val="009E74F3"/>
    <w:rsid w:val="009E7562"/>
    <w:rsid w:val="009E780A"/>
    <w:rsid w:val="009E7B86"/>
    <w:rsid w:val="009E7D38"/>
    <w:rsid w:val="009F02F8"/>
    <w:rsid w:val="009F142B"/>
    <w:rsid w:val="009F21BB"/>
    <w:rsid w:val="009F2768"/>
    <w:rsid w:val="009F34CB"/>
    <w:rsid w:val="009F3737"/>
    <w:rsid w:val="009F37A7"/>
    <w:rsid w:val="009F4169"/>
    <w:rsid w:val="009F427F"/>
    <w:rsid w:val="009F4376"/>
    <w:rsid w:val="009F5920"/>
    <w:rsid w:val="009F67EF"/>
    <w:rsid w:val="009F67F6"/>
    <w:rsid w:val="009F682C"/>
    <w:rsid w:val="009F6F31"/>
    <w:rsid w:val="009F70F4"/>
    <w:rsid w:val="009F7412"/>
    <w:rsid w:val="009F78B4"/>
    <w:rsid w:val="009F7BAC"/>
    <w:rsid w:val="00A00E41"/>
    <w:rsid w:val="00A01A02"/>
    <w:rsid w:val="00A01BDC"/>
    <w:rsid w:val="00A022AE"/>
    <w:rsid w:val="00A0272B"/>
    <w:rsid w:val="00A0435F"/>
    <w:rsid w:val="00A04ECD"/>
    <w:rsid w:val="00A05F4B"/>
    <w:rsid w:val="00A06441"/>
    <w:rsid w:val="00A066DD"/>
    <w:rsid w:val="00A06934"/>
    <w:rsid w:val="00A07C12"/>
    <w:rsid w:val="00A10067"/>
    <w:rsid w:val="00A10DB1"/>
    <w:rsid w:val="00A11A2C"/>
    <w:rsid w:val="00A11F6E"/>
    <w:rsid w:val="00A1361F"/>
    <w:rsid w:val="00A138F7"/>
    <w:rsid w:val="00A13A51"/>
    <w:rsid w:val="00A13C5E"/>
    <w:rsid w:val="00A13FCD"/>
    <w:rsid w:val="00A14305"/>
    <w:rsid w:val="00A15252"/>
    <w:rsid w:val="00A15675"/>
    <w:rsid w:val="00A15B12"/>
    <w:rsid w:val="00A16B95"/>
    <w:rsid w:val="00A16E13"/>
    <w:rsid w:val="00A17633"/>
    <w:rsid w:val="00A1770F"/>
    <w:rsid w:val="00A2039F"/>
    <w:rsid w:val="00A20BE7"/>
    <w:rsid w:val="00A20CEE"/>
    <w:rsid w:val="00A21039"/>
    <w:rsid w:val="00A21337"/>
    <w:rsid w:val="00A216DF"/>
    <w:rsid w:val="00A21EB8"/>
    <w:rsid w:val="00A22364"/>
    <w:rsid w:val="00A2268B"/>
    <w:rsid w:val="00A22730"/>
    <w:rsid w:val="00A22774"/>
    <w:rsid w:val="00A22D50"/>
    <w:rsid w:val="00A23018"/>
    <w:rsid w:val="00A2357A"/>
    <w:rsid w:val="00A238A5"/>
    <w:rsid w:val="00A23AD9"/>
    <w:rsid w:val="00A240E2"/>
    <w:rsid w:val="00A258A7"/>
    <w:rsid w:val="00A25BCC"/>
    <w:rsid w:val="00A25C99"/>
    <w:rsid w:val="00A2653F"/>
    <w:rsid w:val="00A26767"/>
    <w:rsid w:val="00A26F36"/>
    <w:rsid w:val="00A270D0"/>
    <w:rsid w:val="00A27AB9"/>
    <w:rsid w:val="00A27CF1"/>
    <w:rsid w:val="00A27D7E"/>
    <w:rsid w:val="00A27FB1"/>
    <w:rsid w:val="00A30207"/>
    <w:rsid w:val="00A305A3"/>
    <w:rsid w:val="00A319ED"/>
    <w:rsid w:val="00A327BA"/>
    <w:rsid w:val="00A32897"/>
    <w:rsid w:val="00A329EE"/>
    <w:rsid w:val="00A32C0B"/>
    <w:rsid w:val="00A3429D"/>
    <w:rsid w:val="00A34521"/>
    <w:rsid w:val="00A353D6"/>
    <w:rsid w:val="00A35661"/>
    <w:rsid w:val="00A36FE5"/>
    <w:rsid w:val="00A3755E"/>
    <w:rsid w:val="00A37CFF"/>
    <w:rsid w:val="00A40ADF"/>
    <w:rsid w:val="00A40E50"/>
    <w:rsid w:val="00A41242"/>
    <w:rsid w:val="00A4125B"/>
    <w:rsid w:val="00A42751"/>
    <w:rsid w:val="00A42B30"/>
    <w:rsid w:val="00A43374"/>
    <w:rsid w:val="00A43C54"/>
    <w:rsid w:val="00A43E3B"/>
    <w:rsid w:val="00A449EB"/>
    <w:rsid w:val="00A44B4F"/>
    <w:rsid w:val="00A44DA0"/>
    <w:rsid w:val="00A45DEF"/>
    <w:rsid w:val="00A4675B"/>
    <w:rsid w:val="00A46A15"/>
    <w:rsid w:val="00A46AC4"/>
    <w:rsid w:val="00A477F9"/>
    <w:rsid w:val="00A47ADF"/>
    <w:rsid w:val="00A50A95"/>
    <w:rsid w:val="00A51230"/>
    <w:rsid w:val="00A514BA"/>
    <w:rsid w:val="00A51E4C"/>
    <w:rsid w:val="00A51F50"/>
    <w:rsid w:val="00A522C4"/>
    <w:rsid w:val="00A526C2"/>
    <w:rsid w:val="00A53B22"/>
    <w:rsid w:val="00A53F12"/>
    <w:rsid w:val="00A5426A"/>
    <w:rsid w:val="00A54294"/>
    <w:rsid w:val="00A54E28"/>
    <w:rsid w:val="00A55223"/>
    <w:rsid w:val="00A5555B"/>
    <w:rsid w:val="00A555B0"/>
    <w:rsid w:val="00A558FD"/>
    <w:rsid w:val="00A55988"/>
    <w:rsid w:val="00A5598F"/>
    <w:rsid w:val="00A55BE9"/>
    <w:rsid w:val="00A55C62"/>
    <w:rsid w:val="00A56F55"/>
    <w:rsid w:val="00A57203"/>
    <w:rsid w:val="00A5788E"/>
    <w:rsid w:val="00A57F47"/>
    <w:rsid w:val="00A604E8"/>
    <w:rsid w:val="00A60DFE"/>
    <w:rsid w:val="00A60F7E"/>
    <w:rsid w:val="00A61A04"/>
    <w:rsid w:val="00A61C8D"/>
    <w:rsid w:val="00A61EAC"/>
    <w:rsid w:val="00A622BA"/>
    <w:rsid w:val="00A62740"/>
    <w:rsid w:val="00A6286C"/>
    <w:rsid w:val="00A6307C"/>
    <w:rsid w:val="00A634FF"/>
    <w:rsid w:val="00A6379D"/>
    <w:rsid w:val="00A6380F"/>
    <w:rsid w:val="00A644EB"/>
    <w:rsid w:val="00A646EF"/>
    <w:rsid w:val="00A647A6"/>
    <w:rsid w:val="00A6489C"/>
    <w:rsid w:val="00A6497E"/>
    <w:rsid w:val="00A66E58"/>
    <w:rsid w:val="00A6781F"/>
    <w:rsid w:val="00A67E77"/>
    <w:rsid w:val="00A7077D"/>
    <w:rsid w:val="00A708D4"/>
    <w:rsid w:val="00A70E14"/>
    <w:rsid w:val="00A71989"/>
    <w:rsid w:val="00A71E18"/>
    <w:rsid w:val="00A72AB8"/>
    <w:rsid w:val="00A73644"/>
    <w:rsid w:val="00A73701"/>
    <w:rsid w:val="00A73EF6"/>
    <w:rsid w:val="00A749EE"/>
    <w:rsid w:val="00A74BFB"/>
    <w:rsid w:val="00A74E0A"/>
    <w:rsid w:val="00A75238"/>
    <w:rsid w:val="00A75596"/>
    <w:rsid w:val="00A7573B"/>
    <w:rsid w:val="00A75D0C"/>
    <w:rsid w:val="00A76131"/>
    <w:rsid w:val="00A766EA"/>
    <w:rsid w:val="00A76818"/>
    <w:rsid w:val="00A77833"/>
    <w:rsid w:val="00A80366"/>
    <w:rsid w:val="00A80F58"/>
    <w:rsid w:val="00A81006"/>
    <w:rsid w:val="00A810EB"/>
    <w:rsid w:val="00A8140E"/>
    <w:rsid w:val="00A81434"/>
    <w:rsid w:val="00A815AA"/>
    <w:rsid w:val="00A81A9B"/>
    <w:rsid w:val="00A81AFE"/>
    <w:rsid w:val="00A823C5"/>
    <w:rsid w:val="00A8278C"/>
    <w:rsid w:val="00A827BD"/>
    <w:rsid w:val="00A829C2"/>
    <w:rsid w:val="00A83693"/>
    <w:rsid w:val="00A83C31"/>
    <w:rsid w:val="00A840B6"/>
    <w:rsid w:val="00A848F7"/>
    <w:rsid w:val="00A85269"/>
    <w:rsid w:val="00A85A69"/>
    <w:rsid w:val="00A85CA0"/>
    <w:rsid w:val="00A86234"/>
    <w:rsid w:val="00A862A4"/>
    <w:rsid w:val="00A86500"/>
    <w:rsid w:val="00A8657F"/>
    <w:rsid w:val="00A86A90"/>
    <w:rsid w:val="00A87860"/>
    <w:rsid w:val="00A87E58"/>
    <w:rsid w:val="00A87ED2"/>
    <w:rsid w:val="00A91C18"/>
    <w:rsid w:val="00A91D41"/>
    <w:rsid w:val="00A923AC"/>
    <w:rsid w:val="00A92720"/>
    <w:rsid w:val="00A92967"/>
    <w:rsid w:val="00A92F09"/>
    <w:rsid w:val="00A9319C"/>
    <w:rsid w:val="00A937D8"/>
    <w:rsid w:val="00A93B23"/>
    <w:rsid w:val="00A94142"/>
    <w:rsid w:val="00A94936"/>
    <w:rsid w:val="00A94BEB"/>
    <w:rsid w:val="00A94DA9"/>
    <w:rsid w:val="00A96030"/>
    <w:rsid w:val="00A96050"/>
    <w:rsid w:val="00A969DF"/>
    <w:rsid w:val="00A96F7E"/>
    <w:rsid w:val="00A970CC"/>
    <w:rsid w:val="00A97561"/>
    <w:rsid w:val="00A97AFD"/>
    <w:rsid w:val="00AA0668"/>
    <w:rsid w:val="00AA0838"/>
    <w:rsid w:val="00AA1EEE"/>
    <w:rsid w:val="00AA1FF3"/>
    <w:rsid w:val="00AA289C"/>
    <w:rsid w:val="00AA28DA"/>
    <w:rsid w:val="00AA3AA2"/>
    <w:rsid w:val="00AA4604"/>
    <w:rsid w:val="00AA47D1"/>
    <w:rsid w:val="00AA4824"/>
    <w:rsid w:val="00AA4C98"/>
    <w:rsid w:val="00AA5437"/>
    <w:rsid w:val="00AA57A8"/>
    <w:rsid w:val="00AA5E88"/>
    <w:rsid w:val="00AA6078"/>
    <w:rsid w:val="00AA6110"/>
    <w:rsid w:val="00AA6195"/>
    <w:rsid w:val="00AA628B"/>
    <w:rsid w:val="00AA65A3"/>
    <w:rsid w:val="00AA6835"/>
    <w:rsid w:val="00AA68F6"/>
    <w:rsid w:val="00AA6FF4"/>
    <w:rsid w:val="00AA718C"/>
    <w:rsid w:val="00AA7AA7"/>
    <w:rsid w:val="00AA7D0C"/>
    <w:rsid w:val="00AB00E7"/>
    <w:rsid w:val="00AB0114"/>
    <w:rsid w:val="00AB0366"/>
    <w:rsid w:val="00AB0939"/>
    <w:rsid w:val="00AB0DA1"/>
    <w:rsid w:val="00AB12A2"/>
    <w:rsid w:val="00AB17C5"/>
    <w:rsid w:val="00AB1CF6"/>
    <w:rsid w:val="00AB2281"/>
    <w:rsid w:val="00AB2934"/>
    <w:rsid w:val="00AB2A48"/>
    <w:rsid w:val="00AB2AF4"/>
    <w:rsid w:val="00AB309E"/>
    <w:rsid w:val="00AB3E13"/>
    <w:rsid w:val="00AB4254"/>
    <w:rsid w:val="00AB44F6"/>
    <w:rsid w:val="00AB450D"/>
    <w:rsid w:val="00AB4BCB"/>
    <w:rsid w:val="00AB4E62"/>
    <w:rsid w:val="00AB52C5"/>
    <w:rsid w:val="00AB57AE"/>
    <w:rsid w:val="00AB59E1"/>
    <w:rsid w:val="00AB60A6"/>
    <w:rsid w:val="00AB625A"/>
    <w:rsid w:val="00AB6437"/>
    <w:rsid w:val="00AB6949"/>
    <w:rsid w:val="00AB6C4B"/>
    <w:rsid w:val="00AB6DAB"/>
    <w:rsid w:val="00AB7AF9"/>
    <w:rsid w:val="00AB7C70"/>
    <w:rsid w:val="00AC01E6"/>
    <w:rsid w:val="00AC0F2D"/>
    <w:rsid w:val="00AC1090"/>
    <w:rsid w:val="00AC1381"/>
    <w:rsid w:val="00AC1ED9"/>
    <w:rsid w:val="00AC29A3"/>
    <w:rsid w:val="00AC29D1"/>
    <w:rsid w:val="00AC2F39"/>
    <w:rsid w:val="00AC3E1D"/>
    <w:rsid w:val="00AC3FB3"/>
    <w:rsid w:val="00AC40BE"/>
    <w:rsid w:val="00AC465E"/>
    <w:rsid w:val="00AC50CA"/>
    <w:rsid w:val="00AC5284"/>
    <w:rsid w:val="00AC561A"/>
    <w:rsid w:val="00AC5728"/>
    <w:rsid w:val="00AC5F01"/>
    <w:rsid w:val="00AC64C6"/>
    <w:rsid w:val="00AC66A9"/>
    <w:rsid w:val="00AC68C7"/>
    <w:rsid w:val="00AC7A03"/>
    <w:rsid w:val="00AC7E16"/>
    <w:rsid w:val="00AD04D2"/>
    <w:rsid w:val="00AD0732"/>
    <w:rsid w:val="00AD0909"/>
    <w:rsid w:val="00AD1DA4"/>
    <w:rsid w:val="00AD1DAC"/>
    <w:rsid w:val="00AD2EC3"/>
    <w:rsid w:val="00AD2F36"/>
    <w:rsid w:val="00AD35FB"/>
    <w:rsid w:val="00AD3993"/>
    <w:rsid w:val="00AD4488"/>
    <w:rsid w:val="00AD4918"/>
    <w:rsid w:val="00AD5213"/>
    <w:rsid w:val="00AD5265"/>
    <w:rsid w:val="00AD5496"/>
    <w:rsid w:val="00AD5612"/>
    <w:rsid w:val="00AD5B06"/>
    <w:rsid w:val="00AD5FBD"/>
    <w:rsid w:val="00AD6462"/>
    <w:rsid w:val="00AD6A11"/>
    <w:rsid w:val="00AD6FEF"/>
    <w:rsid w:val="00AD740D"/>
    <w:rsid w:val="00AD7582"/>
    <w:rsid w:val="00AD76C2"/>
    <w:rsid w:val="00AD79E4"/>
    <w:rsid w:val="00AE0863"/>
    <w:rsid w:val="00AE16BD"/>
    <w:rsid w:val="00AE19DD"/>
    <w:rsid w:val="00AE2208"/>
    <w:rsid w:val="00AE34AF"/>
    <w:rsid w:val="00AE3776"/>
    <w:rsid w:val="00AE37EC"/>
    <w:rsid w:val="00AE3C5F"/>
    <w:rsid w:val="00AE4023"/>
    <w:rsid w:val="00AE42D1"/>
    <w:rsid w:val="00AE440F"/>
    <w:rsid w:val="00AE46CB"/>
    <w:rsid w:val="00AE5067"/>
    <w:rsid w:val="00AE5138"/>
    <w:rsid w:val="00AE5D0F"/>
    <w:rsid w:val="00AE60E8"/>
    <w:rsid w:val="00AE61C9"/>
    <w:rsid w:val="00AE6DD9"/>
    <w:rsid w:val="00AE6F92"/>
    <w:rsid w:val="00AE729B"/>
    <w:rsid w:val="00AE7684"/>
    <w:rsid w:val="00AE79E3"/>
    <w:rsid w:val="00AE7F46"/>
    <w:rsid w:val="00AF087E"/>
    <w:rsid w:val="00AF0F80"/>
    <w:rsid w:val="00AF0FD9"/>
    <w:rsid w:val="00AF12D5"/>
    <w:rsid w:val="00AF13E8"/>
    <w:rsid w:val="00AF14B6"/>
    <w:rsid w:val="00AF1A40"/>
    <w:rsid w:val="00AF1A68"/>
    <w:rsid w:val="00AF29FD"/>
    <w:rsid w:val="00AF35B5"/>
    <w:rsid w:val="00AF3969"/>
    <w:rsid w:val="00AF3B5B"/>
    <w:rsid w:val="00AF3CF8"/>
    <w:rsid w:val="00AF3E58"/>
    <w:rsid w:val="00AF4079"/>
    <w:rsid w:val="00AF424C"/>
    <w:rsid w:val="00AF429A"/>
    <w:rsid w:val="00AF42CE"/>
    <w:rsid w:val="00AF4439"/>
    <w:rsid w:val="00AF44AC"/>
    <w:rsid w:val="00AF4BFA"/>
    <w:rsid w:val="00AF51D3"/>
    <w:rsid w:val="00AF5694"/>
    <w:rsid w:val="00AF6534"/>
    <w:rsid w:val="00AF6AE5"/>
    <w:rsid w:val="00AF6C9F"/>
    <w:rsid w:val="00AF77D2"/>
    <w:rsid w:val="00AF7872"/>
    <w:rsid w:val="00AF7ABB"/>
    <w:rsid w:val="00B007CB"/>
    <w:rsid w:val="00B008BF"/>
    <w:rsid w:val="00B0115C"/>
    <w:rsid w:val="00B0183F"/>
    <w:rsid w:val="00B01CDC"/>
    <w:rsid w:val="00B02ECF"/>
    <w:rsid w:val="00B0324D"/>
    <w:rsid w:val="00B04468"/>
    <w:rsid w:val="00B04D85"/>
    <w:rsid w:val="00B04DE7"/>
    <w:rsid w:val="00B04F8D"/>
    <w:rsid w:val="00B05046"/>
    <w:rsid w:val="00B05708"/>
    <w:rsid w:val="00B05A3F"/>
    <w:rsid w:val="00B05C8A"/>
    <w:rsid w:val="00B05DB2"/>
    <w:rsid w:val="00B0634A"/>
    <w:rsid w:val="00B06C9A"/>
    <w:rsid w:val="00B07025"/>
    <w:rsid w:val="00B076D9"/>
    <w:rsid w:val="00B07AA7"/>
    <w:rsid w:val="00B07FF4"/>
    <w:rsid w:val="00B101E0"/>
    <w:rsid w:val="00B1036C"/>
    <w:rsid w:val="00B10578"/>
    <w:rsid w:val="00B110F7"/>
    <w:rsid w:val="00B11153"/>
    <w:rsid w:val="00B112DF"/>
    <w:rsid w:val="00B113FF"/>
    <w:rsid w:val="00B119C2"/>
    <w:rsid w:val="00B12185"/>
    <w:rsid w:val="00B12611"/>
    <w:rsid w:val="00B12727"/>
    <w:rsid w:val="00B12D68"/>
    <w:rsid w:val="00B135BB"/>
    <w:rsid w:val="00B149CA"/>
    <w:rsid w:val="00B14D1F"/>
    <w:rsid w:val="00B14D8B"/>
    <w:rsid w:val="00B151D6"/>
    <w:rsid w:val="00B15EAB"/>
    <w:rsid w:val="00B162F7"/>
    <w:rsid w:val="00B16954"/>
    <w:rsid w:val="00B16A06"/>
    <w:rsid w:val="00B16D37"/>
    <w:rsid w:val="00B17193"/>
    <w:rsid w:val="00B17DCC"/>
    <w:rsid w:val="00B20047"/>
    <w:rsid w:val="00B20B70"/>
    <w:rsid w:val="00B20CC0"/>
    <w:rsid w:val="00B20D1A"/>
    <w:rsid w:val="00B20FA0"/>
    <w:rsid w:val="00B212A7"/>
    <w:rsid w:val="00B214EB"/>
    <w:rsid w:val="00B21BEC"/>
    <w:rsid w:val="00B21E99"/>
    <w:rsid w:val="00B21FFD"/>
    <w:rsid w:val="00B221B0"/>
    <w:rsid w:val="00B2263A"/>
    <w:rsid w:val="00B227A0"/>
    <w:rsid w:val="00B22A06"/>
    <w:rsid w:val="00B23525"/>
    <w:rsid w:val="00B23857"/>
    <w:rsid w:val="00B242C4"/>
    <w:rsid w:val="00B24412"/>
    <w:rsid w:val="00B24449"/>
    <w:rsid w:val="00B24B9F"/>
    <w:rsid w:val="00B24FA2"/>
    <w:rsid w:val="00B25064"/>
    <w:rsid w:val="00B259DC"/>
    <w:rsid w:val="00B25CBA"/>
    <w:rsid w:val="00B26A1D"/>
    <w:rsid w:val="00B273DF"/>
    <w:rsid w:val="00B27611"/>
    <w:rsid w:val="00B277C1"/>
    <w:rsid w:val="00B27A04"/>
    <w:rsid w:val="00B27AEF"/>
    <w:rsid w:val="00B27B1E"/>
    <w:rsid w:val="00B27B3C"/>
    <w:rsid w:val="00B30927"/>
    <w:rsid w:val="00B30A01"/>
    <w:rsid w:val="00B30A5C"/>
    <w:rsid w:val="00B30F78"/>
    <w:rsid w:val="00B31128"/>
    <w:rsid w:val="00B31195"/>
    <w:rsid w:val="00B316E5"/>
    <w:rsid w:val="00B31977"/>
    <w:rsid w:val="00B31B2C"/>
    <w:rsid w:val="00B31C72"/>
    <w:rsid w:val="00B32251"/>
    <w:rsid w:val="00B32702"/>
    <w:rsid w:val="00B32801"/>
    <w:rsid w:val="00B332CF"/>
    <w:rsid w:val="00B33B77"/>
    <w:rsid w:val="00B33EAF"/>
    <w:rsid w:val="00B341A5"/>
    <w:rsid w:val="00B344BD"/>
    <w:rsid w:val="00B344C9"/>
    <w:rsid w:val="00B345A4"/>
    <w:rsid w:val="00B34624"/>
    <w:rsid w:val="00B3509D"/>
    <w:rsid w:val="00B35666"/>
    <w:rsid w:val="00B35964"/>
    <w:rsid w:val="00B35E66"/>
    <w:rsid w:val="00B3638A"/>
    <w:rsid w:val="00B36A36"/>
    <w:rsid w:val="00B373F5"/>
    <w:rsid w:val="00B3740D"/>
    <w:rsid w:val="00B3746A"/>
    <w:rsid w:val="00B37E11"/>
    <w:rsid w:val="00B40427"/>
    <w:rsid w:val="00B4054A"/>
    <w:rsid w:val="00B4058E"/>
    <w:rsid w:val="00B406F4"/>
    <w:rsid w:val="00B413AC"/>
    <w:rsid w:val="00B419BD"/>
    <w:rsid w:val="00B419E2"/>
    <w:rsid w:val="00B42025"/>
    <w:rsid w:val="00B420D0"/>
    <w:rsid w:val="00B4224F"/>
    <w:rsid w:val="00B4233A"/>
    <w:rsid w:val="00B42392"/>
    <w:rsid w:val="00B42546"/>
    <w:rsid w:val="00B427C0"/>
    <w:rsid w:val="00B42A0E"/>
    <w:rsid w:val="00B42ABF"/>
    <w:rsid w:val="00B43000"/>
    <w:rsid w:val="00B4383F"/>
    <w:rsid w:val="00B43CD7"/>
    <w:rsid w:val="00B440F4"/>
    <w:rsid w:val="00B442BB"/>
    <w:rsid w:val="00B456AF"/>
    <w:rsid w:val="00B45752"/>
    <w:rsid w:val="00B45A45"/>
    <w:rsid w:val="00B45AF6"/>
    <w:rsid w:val="00B46113"/>
    <w:rsid w:val="00B468C0"/>
    <w:rsid w:val="00B46B49"/>
    <w:rsid w:val="00B46C4B"/>
    <w:rsid w:val="00B500D1"/>
    <w:rsid w:val="00B507CC"/>
    <w:rsid w:val="00B50B21"/>
    <w:rsid w:val="00B50C84"/>
    <w:rsid w:val="00B51787"/>
    <w:rsid w:val="00B51A4F"/>
    <w:rsid w:val="00B51F0C"/>
    <w:rsid w:val="00B51FC1"/>
    <w:rsid w:val="00B52C3C"/>
    <w:rsid w:val="00B52F9F"/>
    <w:rsid w:val="00B53522"/>
    <w:rsid w:val="00B535BF"/>
    <w:rsid w:val="00B53724"/>
    <w:rsid w:val="00B54BE9"/>
    <w:rsid w:val="00B556BE"/>
    <w:rsid w:val="00B55BA1"/>
    <w:rsid w:val="00B56974"/>
    <w:rsid w:val="00B57312"/>
    <w:rsid w:val="00B5799B"/>
    <w:rsid w:val="00B57D58"/>
    <w:rsid w:val="00B60070"/>
    <w:rsid w:val="00B604B4"/>
    <w:rsid w:val="00B60F7D"/>
    <w:rsid w:val="00B616B5"/>
    <w:rsid w:val="00B61DA1"/>
    <w:rsid w:val="00B61DD9"/>
    <w:rsid w:val="00B623CA"/>
    <w:rsid w:val="00B6293D"/>
    <w:rsid w:val="00B62A40"/>
    <w:rsid w:val="00B63357"/>
    <w:rsid w:val="00B63490"/>
    <w:rsid w:val="00B64177"/>
    <w:rsid w:val="00B649A9"/>
    <w:rsid w:val="00B6597E"/>
    <w:rsid w:val="00B66015"/>
    <w:rsid w:val="00B660E2"/>
    <w:rsid w:val="00B6637A"/>
    <w:rsid w:val="00B666AF"/>
    <w:rsid w:val="00B66A23"/>
    <w:rsid w:val="00B66DA8"/>
    <w:rsid w:val="00B67202"/>
    <w:rsid w:val="00B67ABC"/>
    <w:rsid w:val="00B7030B"/>
    <w:rsid w:val="00B70ABD"/>
    <w:rsid w:val="00B71A03"/>
    <w:rsid w:val="00B73304"/>
    <w:rsid w:val="00B74B89"/>
    <w:rsid w:val="00B75984"/>
    <w:rsid w:val="00B75DB1"/>
    <w:rsid w:val="00B770D3"/>
    <w:rsid w:val="00B77258"/>
    <w:rsid w:val="00B77596"/>
    <w:rsid w:val="00B77601"/>
    <w:rsid w:val="00B777EE"/>
    <w:rsid w:val="00B77AA9"/>
    <w:rsid w:val="00B77F77"/>
    <w:rsid w:val="00B803B9"/>
    <w:rsid w:val="00B804E1"/>
    <w:rsid w:val="00B806B8"/>
    <w:rsid w:val="00B807D4"/>
    <w:rsid w:val="00B80DF7"/>
    <w:rsid w:val="00B80F06"/>
    <w:rsid w:val="00B81613"/>
    <w:rsid w:val="00B819C3"/>
    <w:rsid w:val="00B81BF1"/>
    <w:rsid w:val="00B81CD6"/>
    <w:rsid w:val="00B822B6"/>
    <w:rsid w:val="00B8250E"/>
    <w:rsid w:val="00B826F5"/>
    <w:rsid w:val="00B83305"/>
    <w:rsid w:val="00B835FC"/>
    <w:rsid w:val="00B83EAE"/>
    <w:rsid w:val="00B84216"/>
    <w:rsid w:val="00B844CA"/>
    <w:rsid w:val="00B84948"/>
    <w:rsid w:val="00B84AB7"/>
    <w:rsid w:val="00B85763"/>
    <w:rsid w:val="00B85FF3"/>
    <w:rsid w:val="00B86E72"/>
    <w:rsid w:val="00B87360"/>
    <w:rsid w:val="00B87B82"/>
    <w:rsid w:val="00B90413"/>
    <w:rsid w:val="00B90969"/>
    <w:rsid w:val="00B90BB2"/>
    <w:rsid w:val="00B90C07"/>
    <w:rsid w:val="00B90E27"/>
    <w:rsid w:val="00B91203"/>
    <w:rsid w:val="00B91296"/>
    <w:rsid w:val="00B916A8"/>
    <w:rsid w:val="00B91FB0"/>
    <w:rsid w:val="00B925F5"/>
    <w:rsid w:val="00B92B94"/>
    <w:rsid w:val="00B92F7B"/>
    <w:rsid w:val="00B93AC2"/>
    <w:rsid w:val="00B93FA3"/>
    <w:rsid w:val="00B94406"/>
    <w:rsid w:val="00B94845"/>
    <w:rsid w:val="00B9487E"/>
    <w:rsid w:val="00B94BDE"/>
    <w:rsid w:val="00B953ED"/>
    <w:rsid w:val="00B95E14"/>
    <w:rsid w:val="00B96492"/>
    <w:rsid w:val="00B966DE"/>
    <w:rsid w:val="00B970F4"/>
    <w:rsid w:val="00BA1501"/>
    <w:rsid w:val="00BA1958"/>
    <w:rsid w:val="00BA1A1A"/>
    <w:rsid w:val="00BA1D87"/>
    <w:rsid w:val="00BA1E3E"/>
    <w:rsid w:val="00BA1F69"/>
    <w:rsid w:val="00BA2482"/>
    <w:rsid w:val="00BA2D2E"/>
    <w:rsid w:val="00BA3A6A"/>
    <w:rsid w:val="00BA3F74"/>
    <w:rsid w:val="00BA40CF"/>
    <w:rsid w:val="00BA458F"/>
    <w:rsid w:val="00BA4DC1"/>
    <w:rsid w:val="00BA5107"/>
    <w:rsid w:val="00BA612F"/>
    <w:rsid w:val="00BA6469"/>
    <w:rsid w:val="00BA64FF"/>
    <w:rsid w:val="00BA675E"/>
    <w:rsid w:val="00BA6C9F"/>
    <w:rsid w:val="00BA772A"/>
    <w:rsid w:val="00BA7896"/>
    <w:rsid w:val="00BB06C2"/>
    <w:rsid w:val="00BB0F15"/>
    <w:rsid w:val="00BB174C"/>
    <w:rsid w:val="00BB190A"/>
    <w:rsid w:val="00BB1B2A"/>
    <w:rsid w:val="00BB294F"/>
    <w:rsid w:val="00BB2CD5"/>
    <w:rsid w:val="00BB33B5"/>
    <w:rsid w:val="00BB38EE"/>
    <w:rsid w:val="00BB3F7D"/>
    <w:rsid w:val="00BB46AB"/>
    <w:rsid w:val="00BB47B3"/>
    <w:rsid w:val="00BB4852"/>
    <w:rsid w:val="00BB522C"/>
    <w:rsid w:val="00BB5278"/>
    <w:rsid w:val="00BB67BC"/>
    <w:rsid w:val="00BB69F3"/>
    <w:rsid w:val="00BB6C88"/>
    <w:rsid w:val="00BB712D"/>
    <w:rsid w:val="00BB720B"/>
    <w:rsid w:val="00BB7992"/>
    <w:rsid w:val="00BB7C9D"/>
    <w:rsid w:val="00BC0420"/>
    <w:rsid w:val="00BC04A1"/>
    <w:rsid w:val="00BC0774"/>
    <w:rsid w:val="00BC0E3F"/>
    <w:rsid w:val="00BC0EC3"/>
    <w:rsid w:val="00BC1908"/>
    <w:rsid w:val="00BC21C5"/>
    <w:rsid w:val="00BC2240"/>
    <w:rsid w:val="00BC2541"/>
    <w:rsid w:val="00BC29E6"/>
    <w:rsid w:val="00BC31E8"/>
    <w:rsid w:val="00BC3310"/>
    <w:rsid w:val="00BC33D0"/>
    <w:rsid w:val="00BC3589"/>
    <w:rsid w:val="00BC38CA"/>
    <w:rsid w:val="00BC4649"/>
    <w:rsid w:val="00BC49B7"/>
    <w:rsid w:val="00BC4D99"/>
    <w:rsid w:val="00BC5D8D"/>
    <w:rsid w:val="00BC6E0A"/>
    <w:rsid w:val="00BC7884"/>
    <w:rsid w:val="00BC7A45"/>
    <w:rsid w:val="00BC7D7C"/>
    <w:rsid w:val="00BC7DEA"/>
    <w:rsid w:val="00BD0900"/>
    <w:rsid w:val="00BD09C6"/>
    <w:rsid w:val="00BD0AAA"/>
    <w:rsid w:val="00BD0B86"/>
    <w:rsid w:val="00BD0E76"/>
    <w:rsid w:val="00BD0FBB"/>
    <w:rsid w:val="00BD0FEC"/>
    <w:rsid w:val="00BD10B0"/>
    <w:rsid w:val="00BD131A"/>
    <w:rsid w:val="00BD1976"/>
    <w:rsid w:val="00BD1C16"/>
    <w:rsid w:val="00BD1F56"/>
    <w:rsid w:val="00BD24C3"/>
    <w:rsid w:val="00BD2722"/>
    <w:rsid w:val="00BD298C"/>
    <w:rsid w:val="00BD35BB"/>
    <w:rsid w:val="00BD3D6C"/>
    <w:rsid w:val="00BD40FD"/>
    <w:rsid w:val="00BD41AD"/>
    <w:rsid w:val="00BD52D8"/>
    <w:rsid w:val="00BD5C9C"/>
    <w:rsid w:val="00BD6241"/>
    <w:rsid w:val="00BD7D8A"/>
    <w:rsid w:val="00BD7D8E"/>
    <w:rsid w:val="00BD7E40"/>
    <w:rsid w:val="00BD7E6A"/>
    <w:rsid w:val="00BE0128"/>
    <w:rsid w:val="00BE06E6"/>
    <w:rsid w:val="00BE11BF"/>
    <w:rsid w:val="00BE1273"/>
    <w:rsid w:val="00BE1CEE"/>
    <w:rsid w:val="00BE2FA3"/>
    <w:rsid w:val="00BE3113"/>
    <w:rsid w:val="00BE3648"/>
    <w:rsid w:val="00BE42D9"/>
    <w:rsid w:val="00BE4D83"/>
    <w:rsid w:val="00BE4E7C"/>
    <w:rsid w:val="00BE5282"/>
    <w:rsid w:val="00BE54D2"/>
    <w:rsid w:val="00BE5583"/>
    <w:rsid w:val="00BE55C2"/>
    <w:rsid w:val="00BE6B30"/>
    <w:rsid w:val="00BE6EEC"/>
    <w:rsid w:val="00BE7086"/>
    <w:rsid w:val="00BE72C4"/>
    <w:rsid w:val="00BE7365"/>
    <w:rsid w:val="00BF01C2"/>
    <w:rsid w:val="00BF0515"/>
    <w:rsid w:val="00BF07CA"/>
    <w:rsid w:val="00BF09B8"/>
    <w:rsid w:val="00BF0A03"/>
    <w:rsid w:val="00BF0C11"/>
    <w:rsid w:val="00BF0DD3"/>
    <w:rsid w:val="00BF195F"/>
    <w:rsid w:val="00BF21FF"/>
    <w:rsid w:val="00BF2C75"/>
    <w:rsid w:val="00BF2D93"/>
    <w:rsid w:val="00BF31EE"/>
    <w:rsid w:val="00BF323D"/>
    <w:rsid w:val="00BF3971"/>
    <w:rsid w:val="00BF3D6D"/>
    <w:rsid w:val="00BF3FA8"/>
    <w:rsid w:val="00BF3FF8"/>
    <w:rsid w:val="00BF47DE"/>
    <w:rsid w:val="00BF497C"/>
    <w:rsid w:val="00BF4C17"/>
    <w:rsid w:val="00BF4FE1"/>
    <w:rsid w:val="00BF5340"/>
    <w:rsid w:val="00BF64B9"/>
    <w:rsid w:val="00BF6891"/>
    <w:rsid w:val="00BF73A3"/>
    <w:rsid w:val="00C00309"/>
    <w:rsid w:val="00C00928"/>
    <w:rsid w:val="00C00B55"/>
    <w:rsid w:val="00C00BA8"/>
    <w:rsid w:val="00C00D65"/>
    <w:rsid w:val="00C014B4"/>
    <w:rsid w:val="00C019BE"/>
    <w:rsid w:val="00C02116"/>
    <w:rsid w:val="00C02561"/>
    <w:rsid w:val="00C02617"/>
    <w:rsid w:val="00C02A38"/>
    <w:rsid w:val="00C02B37"/>
    <w:rsid w:val="00C03065"/>
    <w:rsid w:val="00C03771"/>
    <w:rsid w:val="00C03FF1"/>
    <w:rsid w:val="00C046E0"/>
    <w:rsid w:val="00C047D4"/>
    <w:rsid w:val="00C04BFC"/>
    <w:rsid w:val="00C05453"/>
    <w:rsid w:val="00C056F2"/>
    <w:rsid w:val="00C06F11"/>
    <w:rsid w:val="00C0788D"/>
    <w:rsid w:val="00C078CF"/>
    <w:rsid w:val="00C07F88"/>
    <w:rsid w:val="00C100FC"/>
    <w:rsid w:val="00C10145"/>
    <w:rsid w:val="00C105D2"/>
    <w:rsid w:val="00C11AAD"/>
    <w:rsid w:val="00C12D3E"/>
    <w:rsid w:val="00C131CB"/>
    <w:rsid w:val="00C132D2"/>
    <w:rsid w:val="00C13433"/>
    <w:rsid w:val="00C134AD"/>
    <w:rsid w:val="00C1383C"/>
    <w:rsid w:val="00C13BFF"/>
    <w:rsid w:val="00C13E65"/>
    <w:rsid w:val="00C13F18"/>
    <w:rsid w:val="00C1432F"/>
    <w:rsid w:val="00C152FF"/>
    <w:rsid w:val="00C157B8"/>
    <w:rsid w:val="00C164F7"/>
    <w:rsid w:val="00C16B3E"/>
    <w:rsid w:val="00C17391"/>
    <w:rsid w:val="00C17BB6"/>
    <w:rsid w:val="00C17EED"/>
    <w:rsid w:val="00C20735"/>
    <w:rsid w:val="00C20DC8"/>
    <w:rsid w:val="00C20FFB"/>
    <w:rsid w:val="00C211E7"/>
    <w:rsid w:val="00C217AE"/>
    <w:rsid w:val="00C217EC"/>
    <w:rsid w:val="00C21A63"/>
    <w:rsid w:val="00C222F4"/>
    <w:rsid w:val="00C22430"/>
    <w:rsid w:val="00C228C3"/>
    <w:rsid w:val="00C22D25"/>
    <w:rsid w:val="00C22F83"/>
    <w:rsid w:val="00C2309C"/>
    <w:rsid w:val="00C233D2"/>
    <w:rsid w:val="00C2414A"/>
    <w:rsid w:val="00C244F3"/>
    <w:rsid w:val="00C247DA"/>
    <w:rsid w:val="00C24C28"/>
    <w:rsid w:val="00C24DB0"/>
    <w:rsid w:val="00C25693"/>
    <w:rsid w:val="00C25837"/>
    <w:rsid w:val="00C2603E"/>
    <w:rsid w:val="00C27993"/>
    <w:rsid w:val="00C27CC5"/>
    <w:rsid w:val="00C27CF3"/>
    <w:rsid w:val="00C27F79"/>
    <w:rsid w:val="00C31635"/>
    <w:rsid w:val="00C31DD4"/>
    <w:rsid w:val="00C321F3"/>
    <w:rsid w:val="00C32373"/>
    <w:rsid w:val="00C329ED"/>
    <w:rsid w:val="00C32E73"/>
    <w:rsid w:val="00C33652"/>
    <w:rsid w:val="00C33B07"/>
    <w:rsid w:val="00C3475A"/>
    <w:rsid w:val="00C347A4"/>
    <w:rsid w:val="00C349A3"/>
    <w:rsid w:val="00C34DDF"/>
    <w:rsid w:val="00C351D6"/>
    <w:rsid w:val="00C363F1"/>
    <w:rsid w:val="00C40142"/>
    <w:rsid w:val="00C401FA"/>
    <w:rsid w:val="00C40510"/>
    <w:rsid w:val="00C40618"/>
    <w:rsid w:val="00C40709"/>
    <w:rsid w:val="00C40B04"/>
    <w:rsid w:val="00C40B17"/>
    <w:rsid w:val="00C40B5E"/>
    <w:rsid w:val="00C40D7E"/>
    <w:rsid w:val="00C4108A"/>
    <w:rsid w:val="00C4112A"/>
    <w:rsid w:val="00C41B9F"/>
    <w:rsid w:val="00C42250"/>
    <w:rsid w:val="00C42252"/>
    <w:rsid w:val="00C428BF"/>
    <w:rsid w:val="00C42C91"/>
    <w:rsid w:val="00C4384A"/>
    <w:rsid w:val="00C43CCD"/>
    <w:rsid w:val="00C4465B"/>
    <w:rsid w:val="00C44F46"/>
    <w:rsid w:val="00C460CC"/>
    <w:rsid w:val="00C46141"/>
    <w:rsid w:val="00C46F3C"/>
    <w:rsid w:val="00C473BC"/>
    <w:rsid w:val="00C47429"/>
    <w:rsid w:val="00C47CA2"/>
    <w:rsid w:val="00C50089"/>
    <w:rsid w:val="00C5011E"/>
    <w:rsid w:val="00C502B8"/>
    <w:rsid w:val="00C50775"/>
    <w:rsid w:val="00C50970"/>
    <w:rsid w:val="00C50A56"/>
    <w:rsid w:val="00C50DA4"/>
    <w:rsid w:val="00C50EDE"/>
    <w:rsid w:val="00C510EA"/>
    <w:rsid w:val="00C522A3"/>
    <w:rsid w:val="00C52AE8"/>
    <w:rsid w:val="00C52EEC"/>
    <w:rsid w:val="00C536FF"/>
    <w:rsid w:val="00C539BC"/>
    <w:rsid w:val="00C53A2F"/>
    <w:rsid w:val="00C53AB5"/>
    <w:rsid w:val="00C54D56"/>
    <w:rsid w:val="00C55213"/>
    <w:rsid w:val="00C56A5E"/>
    <w:rsid w:val="00C56E9D"/>
    <w:rsid w:val="00C56EB9"/>
    <w:rsid w:val="00C574EB"/>
    <w:rsid w:val="00C5767E"/>
    <w:rsid w:val="00C57DDA"/>
    <w:rsid w:val="00C60012"/>
    <w:rsid w:val="00C6066D"/>
    <w:rsid w:val="00C60764"/>
    <w:rsid w:val="00C609FA"/>
    <w:rsid w:val="00C60EB7"/>
    <w:rsid w:val="00C61E73"/>
    <w:rsid w:val="00C61FF7"/>
    <w:rsid w:val="00C621AC"/>
    <w:rsid w:val="00C6245F"/>
    <w:rsid w:val="00C628FB"/>
    <w:rsid w:val="00C62ADF"/>
    <w:rsid w:val="00C63080"/>
    <w:rsid w:val="00C63F5D"/>
    <w:rsid w:val="00C64278"/>
    <w:rsid w:val="00C64766"/>
    <w:rsid w:val="00C64BE3"/>
    <w:rsid w:val="00C64D05"/>
    <w:rsid w:val="00C654BC"/>
    <w:rsid w:val="00C662BA"/>
    <w:rsid w:val="00C66441"/>
    <w:rsid w:val="00C66F31"/>
    <w:rsid w:val="00C67018"/>
    <w:rsid w:val="00C67378"/>
    <w:rsid w:val="00C67558"/>
    <w:rsid w:val="00C67A11"/>
    <w:rsid w:val="00C702C4"/>
    <w:rsid w:val="00C705C0"/>
    <w:rsid w:val="00C707C8"/>
    <w:rsid w:val="00C70FEF"/>
    <w:rsid w:val="00C7185B"/>
    <w:rsid w:val="00C71C23"/>
    <w:rsid w:val="00C71C29"/>
    <w:rsid w:val="00C72270"/>
    <w:rsid w:val="00C72950"/>
    <w:rsid w:val="00C72DFF"/>
    <w:rsid w:val="00C72F11"/>
    <w:rsid w:val="00C73011"/>
    <w:rsid w:val="00C736EA"/>
    <w:rsid w:val="00C73ABF"/>
    <w:rsid w:val="00C73AF4"/>
    <w:rsid w:val="00C74D86"/>
    <w:rsid w:val="00C7514E"/>
    <w:rsid w:val="00C76018"/>
    <w:rsid w:val="00C7636D"/>
    <w:rsid w:val="00C76DAA"/>
    <w:rsid w:val="00C76F92"/>
    <w:rsid w:val="00C77053"/>
    <w:rsid w:val="00C779A9"/>
    <w:rsid w:val="00C779B5"/>
    <w:rsid w:val="00C77CF9"/>
    <w:rsid w:val="00C802E4"/>
    <w:rsid w:val="00C8032B"/>
    <w:rsid w:val="00C80C3C"/>
    <w:rsid w:val="00C80D3F"/>
    <w:rsid w:val="00C80E5F"/>
    <w:rsid w:val="00C80F72"/>
    <w:rsid w:val="00C81376"/>
    <w:rsid w:val="00C81A88"/>
    <w:rsid w:val="00C82568"/>
    <w:rsid w:val="00C8337D"/>
    <w:rsid w:val="00C8360C"/>
    <w:rsid w:val="00C837D8"/>
    <w:rsid w:val="00C83E49"/>
    <w:rsid w:val="00C842E2"/>
    <w:rsid w:val="00C854DD"/>
    <w:rsid w:val="00C85612"/>
    <w:rsid w:val="00C858AD"/>
    <w:rsid w:val="00C85C01"/>
    <w:rsid w:val="00C85EE4"/>
    <w:rsid w:val="00C85F73"/>
    <w:rsid w:val="00C867B2"/>
    <w:rsid w:val="00C8696A"/>
    <w:rsid w:val="00C86E56"/>
    <w:rsid w:val="00C86F34"/>
    <w:rsid w:val="00C877BD"/>
    <w:rsid w:val="00C90696"/>
    <w:rsid w:val="00C907D8"/>
    <w:rsid w:val="00C90899"/>
    <w:rsid w:val="00C909C0"/>
    <w:rsid w:val="00C90E74"/>
    <w:rsid w:val="00C90F8E"/>
    <w:rsid w:val="00C9103D"/>
    <w:rsid w:val="00C91C0B"/>
    <w:rsid w:val="00C92196"/>
    <w:rsid w:val="00C922C7"/>
    <w:rsid w:val="00C930C8"/>
    <w:rsid w:val="00C94331"/>
    <w:rsid w:val="00C944BC"/>
    <w:rsid w:val="00C9463B"/>
    <w:rsid w:val="00C94640"/>
    <w:rsid w:val="00C94942"/>
    <w:rsid w:val="00C94F53"/>
    <w:rsid w:val="00C95014"/>
    <w:rsid w:val="00C953E6"/>
    <w:rsid w:val="00C956E4"/>
    <w:rsid w:val="00C95799"/>
    <w:rsid w:val="00C95BBB"/>
    <w:rsid w:val="00C95E14"/>
    <w:rsid w:val="00C95FFC"/>
    <w:rsid w:val="00C961A8"/>
    <w:rsid w:val="00C967F1"/>
    <w:rsid w:val="00C96913"/>
    <w:rsid w:val="00C96F1E"/>
    <w:rsid w:val="00C9748A"/>
    <w:rsid w:val="00C976FD"/>
    <w:rsid w:val="00CA0261"/>
    <w:rsid w:val="00CA0397"/>
    <w:rsid w:val="00CA03E8"/>
    <w:rsid w:val="00CA062B"/>
    <w:rsid w:val="00CA0893"/>
    <w:rsid w:val="00CA0FE4"/>
    <w:rsid w:val="00CA10ED"/>
    <w:rsid w:val="00CA1B14"/>
    <w:rsid w:val="00CA1CFD"/>
    <w:rsid w:val="00CA3108"/>
    <w:rsid w:val="00CA37C9"/>
    <w:rsid w:val="00CA3B18"/>
    <w:rsid w:val="00CA40BB"/>
    <w:rsid w:val="00CA444D"/>
    <w:rsid w:val="00CA45F4"/>
    <w:rsid w:val="00CA4A92"/>
    <w:rsid w:val="00CA4B01"/>
    <w:rsid w:val="00CA4C25"/>
    <w:rsid w:val="00CA51B8"/>
    <w:rsid w:val="00CA65F6"/>
    <w:rsid w:val="00CA65F7"/>
    <w:rsid w:val="00CA69E1"/>
    <w:rsid w:val="00CA798F"/>
    <w:rsid w:val="00CA7AF5"/>
    <w:rsid w:val="00CB00C2"/>
    <w:rsid w:val="00CB0210"/>
    <w:rsid w:val="00CB0858"/>
    <w:rsid w:val="00CB0C34"/>
    <w:rsid w:val="00CB1187"/>
    <w:rsid w:val="00CB14B5"/>
    <w:rsid w:val="00CB18A9"/>
    <w:rsid w:val="00CB1E80"/>
    <w:rsid w:val="00CB1FA2"/>
    <w:rsid w:val="00CB20EA"/>
    <w:rsid w:val="00CB2152"/>
    <w:rsid w:val="00CB2377"/>
    <w:rsid w:val="00CB2A7E"/>
    <w:rsid w:val="00CB3285"/>
    <w:rsid w:val="00CB3773"/>
    <w:rsid w:val="00CB41D4"/>
    <w:rsid w:val="00CB4A83"/>
    <w:rsid w:val="00CB545F"/>
    <w:rsid w:val="00CB5849"/>
    <w:rsid w:val="00CB60D7"/>
    <w:rsid w:val="00CB623E"/>
    <w:rsid w:val="00CB67D2"/>
    <w:rsid w:val="00CB7433"/>
    <w:rsid w:val="00CB76D0"/>
    <w:rsid w:val="00CB7778"/>
    <w:rsid w:val="00CC0066"/>
    <w:rsid w:val="00CC020F"/>
    <w:rsid w:val="00CC0270"/>
    <w:rsid w:val="00CC02E7"/>
    <w:rsid w:val="00CC02EC"/>
    <w:rsid w:val="00CC0764"/>
    <w:rsid w:val="00CC0835"/>
    <w:rsid w:val="00CC0903"/>
    <w:rsid w:val="00CC093F"/>
    <w:rsid w:val="00CC0A0B"/>
    <w:rsid w:val="00CC0C3F"/>
    <w:rsid w:val="00CC0DC5"/>
    <w:rsid w:val="00CC1003"/>
    <w:rsid w:val="00CC22A8"/>
    <w:rsid w:val="00CC22BF"/>
    <w:rsid w:val="00CC23B8"/>
    <w:rsid w:val="00CC2831"/>
    <w:rsid w:val="00CC3898"/>
    <w:rsid w:val="00CC4604"/>
    <w:rsid w:val="00CC4A57"/>
    <w:rsid w:val="00CC4F16"/>
    <w:rsid w:val="00CC5A55"/>
    <w:rsid w:val="00CC686C"/>
    <w:rsid w:val="00CC6C1E"/>
    <w:rsid w:val="00CC6D07"/>
    <w:rsid w:val="00CC6D5B"/>
    <w:rsid w:val="00CC6DD7"/>
    <w:rsid w:val="00CC7CB8"/>
    <w:rsid w:val="00CC7F51"/>
    <w:rsid w:val="00CD01F8"/>
    <w:rsid w:val="00CD04FA"/>
    <w:rsid w:val="00CD0B69"/>
    <w:rsid w:val="00CD10F6"/>
    <w:rsid w:val="00CD110C"/>
    <w:rsid w:val="00CD2530"/>
    <w:rsid w:val="00CD2598"/>
    <w:rsid w:val="00CD2985"/>
    <w:rsid w:val="00CD3A64"/>
    <w:rsid w:val="00CD3A9C"/>
    <w:rsid w:val="00CD3C09"/>
    <w:rsid w:val="00CD3EBD"/>
    <w:rsid w:val="00CD41ED"/>
    <w:rsid w:val="00CD4284"/>
    <w:rsid w:val="00CD46EA"/>
    <w:rsid w:val="00CD4B2D"/>
    <w:rsid w:val="00CD4BC3"/>
    <w:rsid w:val="00CD4D27"/>
    <w:rsid w:val="00CD57F2"/>
    <w:rsid w:val="00CD5ECE"/>
    <w:rsid w:val="00CD62D7"/>
    <w:rsid w:val="00CD65F4"/>
    <w:rsid w:val="00CD666D"/>
    <w:rsid w:val="00CD6C67"/>
    <w:rsid w:val="00CD6DDF"/>
    <w:rsid w:val="00CD73A8"/>
    <w:rsid w:val="00CE05DB"/>
    <w:rsid w:val="00CE0702"/>
    <w:rsid w:val="00CE0A47"/>
    <w:rsid w:val="00CE18EB"/>
    <w:rsid w:val="00CE1E1A"/>
    <w:rsid w:val="00CE2BCC"/>
    <w:rsid w:val="00CE2DAD"/>
    <w:rsid w:val="00CE310F"/>
    <w:rsid w:val="00CE3E08"/>
    <w:rsid w:val="00CE423F"/>
    <w:rsid w:val="00CE427C"/>
    <w:rsid w:val="00CE4466"/>
    <w:rsid w:val="00CE4BEF"/>
    <w:rsid w:val="00CE503B"/>
    <w:rsid w:val="00CE669E"/>
    <w:rsid w:val="00CE6B1F"/>
    <w:rsid w:val="00CE6E9C"/>
    <w:rsid w:val="00CE71B0"/>
    <w:rsid w:val="00CE71DB"/>
    <w:rsid w:val="00CE7BE7"/>
    <w:rsid w:val="00CF0006"/>
    <w:rsid w:val="00CF012C"/>
    <w:rsid w:val="00CF0558"/>
    <w:rsid w:val="00CF0DEF"/>
    <w:rsid w:val="00CF179B"/>
    <w:rsid w:val="00CF20B2"/>
    <w:rsid w:val="00CF2B49"/>
    <w:rsid w:val="00CF2DF5"/>
    <w:rsid w:val="00CF3006"/>
    <w:rsid w:val="00CF3144"/>
    <w:rsid w:val="00CF3751"/>
    <w:rsid w:val="00CF4153"/>
    <w:rsid w:val="00CF45DD"/>
    <w:rsid w:val="00CF4D0C"/>
    <w:rsid w:val="00CF4EC9"/>
    <w:rsid w:val="00CF504A"/>
    <w:rsid w:val="00CF50B5"/>
    <w:rsid w:val="00CF5735"/>
    <w:rsid w:val="00CF58BA"/>
    <w:rsid w:val="00CF5936"/>
    <w:rsid w:val="00CF5A8B"/>
    <w:rsid w:val="00CF5EF0"/>
    <w:rsid w:val="00CF6B1C"/>
    <w:rsid w:val="00CF731E"/>
    <w:rsid w:val="00CF76F5"/>
    <w:rsid w:val="00CF7728"/>
    <w:rsid w:val="00CF7797"/>
    <w:rsid w:val="00D00DCC"/>
    <w:rsid w:val="00D017F4"/>
    <w:rsid w:val="00D01859"/>
    <w:rsid w:val="00D01B4A"/>
    <w:rsid w:val="00D01B71"/>
    <w:rsid w:val="00D026E6"/>
    <w:rsid w:val="00D02789"/>
    <w:rsid w:val="00D03740"/>
    <w:rsid w:val="00D0397A"/>
    <w:rsid w:val="00D04B6B"/>
    <w:rsid w:val="00D055B9"/>
    <w:rsid w:val="00D056D7"/>
    <w:rsid w:val="00D0607A"/>
    <w:rsid w:val="00D066B3"/>
    <w:rsid w:val="00D06A3B"/>
    <w:rsid w:val="00D06C95"/>
    <w:rsid w:val="00D07641"/>
    <w:rsid w:val="00D07B05"/>
    <w:rsid w:val="00D07BFB"/>
    <w:rsid w:val="00D07C03"/>
    <w:rsid w:val="00D07F4A"/>
    <w:rsid w:val="00D10166"/>
    <w:rsid w:val="00D10C23"/>
    <w:rsid w:val="00D10E48"/>
    <w:rsid w:val="00D1167F"/>
    <w:rsid w:val="00D11724"/>
    <w:rsid w:val="00D11C76"/>
    <w:rsid w:val="00D12477"/>
    <w:rsid w:val="00D13562"/>
    <w:rsid w:val="00D1364F"/>
    <w:rsid w:val="00D14210"/>
    <w:rsid w:val="00D15D28"/>
    <w:rsid w:val="00D15D6F"/>
    <w:rsid w:val="00D160C2"/>
    <w:rsid w:val="00D169F8"/>
    <w:rsid w:val="00D16D89"/>
    <w:rsid w:val="00D16E83"/>
    <w:rsid w:val="00D16ECE"/>
    <w:rsid w:val="00D16FBB"/>
    <w:rsid w:val="00D207DF"/>
    <w:rsid w:val="00D212DA"/>
    <w:rsid w:val="00D21A30"/>
    <w:rsid w:val="00D21BBE"/>
    <w:rsid w:val="00D220DA"/>
    <w:rsid w:val="00D22DC7"/>
    <w:rsid w:val="00D23023"/>
    <w:rsid w:val="00D23690"/>
    <w:rsid w:val="00D23C9B"/>
    <w:rsid w:val="00D24273"/>
    <w:rsid w:val="00D24399"/>
    <w:rsid w:val="00D247CA"/>
    <w:rsid w:val="00D250C3"/>
    <w:rsid w:val="00D25DAD"/>
    <w:rsid w:val="00D26451"/>
    <w:rsid w:val="00D268F9"/>
    <w:rsid w:val="00D26E57"/>
    <w:rsid w:val="00D30267"/>
    <w:rsid w:val="00D30592"/>
    <w:rsid w:val="00D31774"/>
    <w:rsid w:val="00D318CC"/>
    <w:rsid w:val="00D319B3"/>
    <w:rsid w:val="00D31DE9"/>
    <w:rsid w:val="00D31EAC"/>
    <w:rsid w:val="00D3280F"/>
    <w:rsid w:val="00D32A3E"/>
    <w:rsid w:val="00D32B4A"/>
    <w:rsid w:val="00D34102"/>
    <w:rsid w:val="00D351E9"/>
    <w:rsid w:val="00D3676D"/>
    <w:rsid w:val="00D36BD1"/>
    <w:rsid w:val="00D371CF"/>
    <w:rsid w:val="00D373E0"/>
    <w:rsid w:val="00D37CA5"/>
    <w:rsid w:val="00D37D00"/>
    <w:rsid w:val="00D403D7"/>
    <w:rsid w:val="00D40885"/>
    <w:rsid w:val="00D40D3C"/>
    <w:rsid w:val="00D40EEA"/>
    <w:rsid w:val="00D40F72"/>
    <w:rsid w:val="00D4167D"/>
    <w:rsid w:val="00D418F1"/>
    <w:rsid w:val="00D41FFC"/>
    <w:rsid w:val="00D42736"/>
    <w:rsid w:val="00D43160"/>
    <w:rsid w:val="00D433F0"/>
    <w:rsid w:val="00D43779"/>
    <w:rsid w:val="00D43EAC"/>
    <w:rsid w:val="00D43F14"/>
    <w:rsid w:val="00D43FD0"/>
    <w:rsid w:val="00D447AC"/>
    <w:rsid w:val="00D447E9"/>
    <w:rsid w:val="00D44F1C"/>
    <w:rsid w:val="00D45042"/>
    <w:rsid w:val="00D45260"/>
    <w:rsid w:val="00D453AD"/>
    <w:rsid w:val="00D45B80"/>
    <w:rsid w:val="00D46969"/>
    <w:rsid w:val="00D46E92"/>
    <w:rsid w:val="00D47577"/>
    <w:rsid w:val="00D47AD0"/>
    <w:rsid w:val="00D47F00"/>
    <w:rsid w:val="00D502E1"/>
    <w:rsid w:val="00D502E2"/>
    <w:rsid w:val="00D504E7"/>
    <w:rsid w:val="00D50896"/>
    <w:rsid w:val="00D5161A"/>
    <w:rsid w:val="00D51F4B"/>
    <w:rsid w:val="00D52025"/>
    <w:rsid w:val="00D531F6"/>
    <w:rsid w:val="00D5419F"/>
    <w:rsid w:val="00D54493"/>
    <w:rsid w:val="00D54697"/>
    <w:rsid w:val="00D54851"/>
    <w:rsid w:val="00D55135"/>
    <w:rsid w:val="00D56423"/>
    <w:rsid w:val="00D573EE"/>
    <w:rsid w:val="00D57494"/>
    <w:rsid w:val="00D57957"/>
    <w:rsid w:val="00D60419"/>
    <w:rsid w:val="00D60A90"/>
    <w:rsid w:val="00D62125"/>
    <w:rsid w:val="00D62B86"/>
    <w:rsid w:val="00D62BA5"/>
    <w:rsid w:val="00D633C3"/>
    <w:rsid w:val="00D63407"/>
    <w:rsid w:val="00D634D3"/>
    <w:rsid w:val="00D63848"/>
    <w:rsid w:val="00D643A9"/>
    <w:rsid w:val="00D64862"/>
    <w:rsid w:val="00D6496B"/>
    <w:rsid w:val="00D649B6"/>
    <w:rsid w:val="00D64C4C"/>
    <w:rsid w:val="00D65339"/>
    <w:rsid w:val="00D65515"/>
    <w:rsid w:val="00D656E5"/>
    <w:rsid w:val="00D65E6C"/>
    <w:rsid w:val="00D65EEB"/>
    <w:rsid w:val="00D65F0E"/>
    <w:rsid w:val="00D6625B"/>
    <w:rsid w:val="00D66874"/>
    <w:rsid w:val="00D66D0C"/>
    <w:rsid w:val="00D67447"/>
    <w:rsid w:val="00D67701"/>
    <w:rsid w:val="00D67B96"/>
    <w:rsid w:val="00D67C03"/>
    <w:rsid w:val="00D67FE1"/>
    <w:rsid w:val="00D702D9"/>
    <w:rsid w:val="00D7067A"/>
    <w:rsid w:val="00D70FD7"/>
    <w:rsid w:val="00D71310"/>
    <w:rsid w:val="00D71442"/>
    <w:rsid w:val="00D71518"/>
    <w:rsid w:val="00D715CE"/>
    <w:rsid w:val="00D71809"/>
    <w:rsid w:val="00D71F72"/>
    <w:rsid w:val="00D7202E"/>
    <w:rsid w:val="00D723F9"/>
    <w:rsid w:val="00D7302B"/>
    <w:rsid w:val="00D740C8"/>
    <w:rsid w:val="00D7473A"/>
    <w:rsid w:val="00D755C9"/>
    <w:rsid w:val="00D75C8A"/>
    <w:rsid w:val="00D75D9B"/>
    <w:rsid w:val="00D75F93"/>
    <w:rsid w:val="00D768B2"/>
    <w:rsid w:val="00D7698F"/>
    <w:rsid w:val="00D76BBE"/>
    <w:rsid w:val="00D800FF"/>
    <w:rsid w:val="00D801EB"/>
    <w:rsid w:val="00D80DF8"/>
    <w:rsid w:val="00D80F55"/>
    <w:rsid w:val="00D81120"/>
    <w:rsid w:val="00D81140"/>
    <w:rsid w:val="00D815A0"/>
    <w:rsid w:val="00D81A05"/>
    <w:rsid w:val="00D81D87"/>
    <w:rsid w:val="00D82B7D"/>
    <w:rsid w:val="00D82C20"/>
    <w:rsid w:val="00D82D5E"/>
    <w:rsid w:val="00D82FA3"/>
    <w:rsid w:val="00D8315A"/>
    <w:rsid w:val="00D8333A"/>
    <w:rsid w:val="00D83735"/>
    <w:rsid w:val="00D83888"/>
    <w:rsid w:val="00D8494D"/>
    <w:rsid w:val="00D84B05"/>
    <w:rsid w:val="00D85056"/>
    <w:rsid w:val="00D85124"/>
    <w:rsid w:val="00D85458"/>
    <w:rsid w:val="00D85ADE"/>
    <w:rsid w:val="00D860D8"/>
    <w:rsid w:val="00D8639E"/>
    <w:rsid w:val="00D8656A"/>
    <w:rsid w:val="00D865A7"/>
    <w:rsid w:val="00D86914"/>
    <w:rsid w:val="00D86968"/>
    <w:rsid w:val="00D86C1E"/>
    <w:rsid w:val="00D87059"/>
    <w:rsid w:val="00D875B0"/>
    <w:rsid w:val="00D87AA3"/>
    <w:rsid w:val="00D9021B"/>
    <w:rsid w:val="00D902C0"/>
    <w:rsid w:val="00D90803"/>
    <w:rsid w:val="00D9090B"/>
    <w:rsid w:val="00D90A4B"/>
    <w:rsid w:val="00D90C7B"/>
    <w:rsid w:val="00D91482"/>
    <w:rsid w:val="00D91C16"/>
    <w:rsid w:val="00D927BD"/>
    <w:rsid w:val="00D928B3"/>
    <w:rsid w:val="00D931A6"/>
    <w:rsid w:val="00D936E7"/>
    <w:rsid w:val="00D93834"/>
    <w:rsid w:val="00D93FA5"/>
    <w:rsid w:val="00D93FF8"/>
    <w:rsid w:val="00D946AE"/>
    <w:rsid w:val="00D94CAA"/>
    <w:rsid w:val="00D95205"/>
    <w:rsid w:val="00D95559"/>
    <w:rsid w:val="00D95ED1"/>
    <w:rsid w:val="00D9646C"/>
    <w:rsid w:val="00D96B60"/>
    <w:rsid w:val="00D972DD"/>
    <w:rsid w:val="00D97C26"/>
    <w:rsid w:val="00DA0136"/>
    <w:rsid w:val="00DA03B8"/>
    <w:rsid w:val="00DA065D"/>
    <w:rsid w:val="00DA0718"/>
    <w:rsid w:val="00DA2139"/>
    <w:rsid w:val="00DA2190"/>
    <w:rsid w:val="00DA33F4"/>
    <w:rsid w:val="00DA38A5"/>
    <w:rsid w:val="00DA3BB9"/>
    <w:rsid w:val="00DA3BC9"/>
    <w:rsid w:val="00DA3DAB"/>
    <w:rsid w:val="00DA3E8E"/>
    <w:rsid w:val="00DA3E9F"/>
    <w:rsid w:val="00DA40B8"/>
    <w:rsid w:val="00DA4141"/>
    <w:rsid w:val="00DA4D02"/>
    <w:rsid w:val="00DA5616"/>
    <w:rsid w:val="00DA570A"/>
    <w:rsid w:val="00DA5838"/>
    <w:rsid w:val="00DA5AD0"/>
    <w:rsid w:val="00DA5F35"/>
    <w:rsid w:val="00DA6752"/>
    <w:rsid w:val="00DA6E0D"/>
    <w:rsid w:val="00DA7371"/>
    <w:rsid w:val="00DA73F5"/>
    <w:rsid w:val="00DA7AB5"/>
    <w:rsid w:val="00DB0040"/>
    <w:rsid w:val="00DB04F8"/>
    <w:rsid w:val="00DB0BCB"/>
    <w:rsid w:val="00DB0FE5"/>
    <w:rsid w:val="00DB12F1"/>
    <w:rsid w:val="00DB14C3"/>
    <w:rsid w:val="00DB1565"/>
    <w:rsid w:val="00DB191F"/>
    <w:rsid w:val="00DB1AC6"/>
    <w:rsid w:val="00DB1D82"/>
    <w:rsid w:val="00DB2159"/>
    <w:rsid w:val="00DB22FA"/>
    <w:rsid w:val="00DB2393"/>
    <w:rsid w:val="00DB24F4"/>
    <w:rsid w:val="00DB27B4"/>
    <w:rsid w:val="00DB32EF"/>
    <w:rsid w:val="00DB3467"/>
    <w:rsid w:val="00DB356C"/>
    <w:rsid w:val="00DB36F8"/>
    <w:rsid w:val="00DB3794"/>
    <w:rsid w:val="00DB466F"/>
    <w:rsid w:val="00DB46C3"/>
    <w:rsid w:val="00DB51F6"/>
    <w:rsid w:val="00DB5740"/>
    <w:rsid w:val="00DB5DE4"/>
    <w:rsid w:val="00DB5E19"/>
    <w:rsid w:val="00DB61FC"/>
    <w:rsid w:val="00DB64B6"/>
    <w:rsid w:val="00DB70C2"/>
    <w:rsid w:val="00DB7541"/>
    <w:rsid w:val="00DB7A43"/>
    <w:rsid w:val="00DB7E70"/>
    <w:rsid w:val="00DC024D"/>
    <w:rsid w:val="00DC15F3"/>
    <w:rsid w:val="00DC170E"/>
    <w:rsid w:val="00DC1DB8"/>
    <w:rsid w:val="00DC2C97"/>
    <w:rsid w:val="00DC2EC0"/>
    <w:rsid w:val="00DC2F9A"/>
    <w:rsid w:val="00DC3325"/>
    <w:rsid w:val="00DC3660"/>
    <w:rsid w:val="00DC36C6"/>
    <w:rsid w:val="00DC3AA2"/>
    <w:rsid w:val="00DC3C52"/>
    <w:rsid w:val="00DC57CA"/>
    <w:rsid w:val="00DC57CE"/>
    <w:rsid w:val="00DC59F9"/>
    <w:rsid w:val="00DC6C36"/>
    <w:rsid w:val="00DC6CFD"/>
    <w:rsid w:val="00DC6D7B"/>
    <w:rsid w:val="00DC6FE8"/>
    <w:rsid w:val="00DC79C9"/>
    <w:rsid w:val="00DC7BA0"/>
    <w:rsid w:val="00DD0260"/>
    <w:rsid w:val="00DD034B"/>
    <w:rsid w:val="00DD038E"/>
    <w:rsid w:val="00DD1267"/>
    <w:rsid w:val="00DD12C1"/>
    <w:rsid w:val="00DD138B"/>
    <w:rsid w:val="00DD1EF5"/>
    <w:rsid w:val="00DD22B8"/>
    <w:rsid w:val="00DD280A"/>
    <w:rsid w:val="00DD291D"/>
    <w:rsid w:val="00DD2C1C"/>
    <w:rsid w:val="00DD3AF0"/>
    <w:rsid w:val="00DD3B19"/>
    <w:rsid w:val="00DD3EA7"/>
    <w:rsid w:val="00DD46BE"/>
    <w:rsid w:val="00DD50DE"/>
    <w:rsid w:val="00DD5810"/>
    <w:rsid w:val="00DD5CF7"/>
    <w:rsid w:val="00DD5E52"/>
    <w:rsid w:val="00DD64D3"/>
    <w:rsid w:val="00DD65CA"/>
    <w:rsid w:val="00DD6C1F"/>
    <w:rsid w:val="00DD6C47"/>
    <w:rsid w:val="00DD738C"/>
    <w:rsid w:val="00DD73D9"/>
    <w:rsid w:val="00DD7B66"/>
    <w:rsid w:val="00DE068A"/>
    <w:rsid w:val="00DE0B3A"/>
    <w:rsid w:val="00DE0CC2"/>
    <w:rsid w:val="00DE0E0E"/>
    <w:rsid w:val="00DE0F61"/>
    <w:rsid w:val="00DE0FC1"/>
    <w:rsid w:val="00DE134A"/>
    <w:rsid w:val="00DE27AC"/>
    <w:rsid w:val="00DE2A5B"/>
    <w:rsid w:val="00DE569A"/>
    <w:rsid w:val="00DE5A29"/>
    <w:rsid w:val="00DE5A8F"/>
    <w:rsid w:val="00DE5BF3"/>
    <w:rsid w:val="00DE6311"/>
    <w:rsid w:val="00DE6A6C"/>
    <w:rsid w:val="00DE6FD3"/>
    <w:rsid w:val="00DE71E5"/>
    <w:rsid w:val="00DE7251"/>
    <w:rsid w:val="00DE785B"/>
    <w:rsid w:val="00DE7F7E"/>
    <w:rsid w:val="00DF0996"/>
    <w:rsid w:val="00DF0E8B"/>
    <w:rsid w:val="00DF1084"/>
    <w:rsid w:val="00DF2E4E"/>
    <w:rsid w:val="00DF2E50"/>
    <w:rsid w:val="00DF307A"/>
    <w:rsid w:val="00DF3A3F"/>
    <w:rsid w:val="00DF3B21"/>
    <w:rsid w:val="00DF3B4E"/>
    <w:rsid w:val="00DF3D0F"/>
    <w:rsid w:val="00DF3D88"/>
    <w:rsid w:val="00DF3EAB"/>
    <w:rsid w:val="00DF4129"/>
    <w:rsid w:val="00DF4457"/>
    <w:rsid w:val="00DF449D"/>
    <w:rsid w:val="00DF44F9"/>
    <w:rsid w:val="00DF507A"/>
    <w:rsid w:val="00DF51F1"/>
    <w:rsid w:val="00DF53C6"/>
    <w:rsid w:val="00DF5562"/>
    <w:rsid w:val="00DF55EF"/>
    <w:rsid w:val="00DF5865"/>
    <w:rsid w:val="00DF5868"/>
    <w:rsid w:val="00DF624E"/>
    <w:rsid w:val="00DF681E"/>
    <w:rsid w:val="00DF7F51"/>
    <w:rsid w:val="00E00262"/>
    <w:rsid w:val="00E00313"/>
    <w:rsid w:val="00E0038D"/>
    <w:rsid w:val="00E0075D"/>
    <w:rsid w:val="00E0126A"/>
    <w:rsid w:val="00E012E5"/>
    <w:rsid w:val="00E01662"/>
    <w:rsid w:val="00E0175E"/>
    <w:rsid w:val="00E024EC"/>
    <w:rsid w:val="00E02B51"/>
    <w:rsid w:val="00E037A9"/>
    <w:rsid w:val="00E037F3"/>
    <w:rsid w:val="00E03C5A"/>
    <w:rsid w:val="00E0407D"/>
    <w:rsid w:val="00E040B2"/>
    <w:rsid w:val="00E04338"/>
    <w:rsid w:val="00E04A7B"/>
    <w:rsid w:val="00E04BBD"/>
    <w:rsid w:val="00E04F77"/>
    <w:rsid w:val="00E0573B"/>
    <w:rsid w:val="00E05C11"/>
    <w:rsid w:val="00E06DC5"/>
    <w:rsid w:val="00E06E82"/>
    <w:rsid w:val="00E06FF8"/>
    <w:rsid w:val="00E073E6"/>
    <w:rsid w:val="00E07848"/>
    <w:rsid w:val="00E079D7"/>
    <w:rsid w:val="00E07A6E"/>
    <w:rsid w:val="00E10371"/>
    <w:rsid w:val="00E113BB"/>
    <w:rsid w:val="00E11B68"/>
    <w:rsid w:val="00E11E51"/>
    <w:rsid w:val="00E1243A"/>
    <w:rsid w:val="00E125D8"/>
    <w:rsid w:val="00E12912"/>
    <w:rsid w:val="00E13027"/>
    <w:rsid w:val="00E13B84"/>
    <w:rsid w:val="00E13C42"/>
    <w:rsid w:val="00E1457D"/>
    <w:rsid w:val="00E14BD8"/>
    <w:rsid w:val="00E14CB5"/>
    <w:rsid w:val="00E14E0B"/>
    <w:rsid w:val="00E14E2C"/>
    <w:rsid w:val="00E15052"/>
    <w:rsid w:val="00E158A5"/>
    <w:rsid w:val="00E15CFE"/>
    <w:rsid w:val="00E1601E"/>
    <w:rsid w:val="00E16BC7"/>
    <w:rsid w:val="00E16C47"/>
    <w:rsid w:val="00E177A1"/>
    <w:rsid w:val="00E17C41"/>
    <w:rsid w:val="00E17D3A"/>
    <w:rsid w:val="00E20046"/>
    <w:rsid w:val="00E200ED"/>
    <w:rsid w:val="00E209A3"/>
    <w:rsid w:val="00E20E1F"/>
    <w:rsid w:val="00E215C6"/>
    <w:rsid w:val="00E2166F"/>
    <w:rsid w:val="00E21E61"/>
    <w:rsid w:val="00E21FAD"/>
    <w:rsid w:val="00E220CB"/>
    <w:rsid w:val="00E229E9"/>
    <w:rsid w:val="00E23A5C"/>
    <w:rsid w:val="00E24D71"/>
    <w:rsid w:val="00E251EA"/>
    <w:rsid w:val="00E255DE"/>
    <w:rsid w:val="00E25DA1"/>
    <w:rsid w:val="00E25EA7"/>
    <w:rsid w:val="00E26BFC"/>
    <w:rsid w:val="00E27002"/>
    <w:rsid w:val="00E27045"/>
    <w:rsid w:val="00E302FD"/>
    <w:rsid w:val="00E308F6"/>
    <w:rsid w:val="00E31471"/>
    <w:rsid w:val="00E31674"/>
    <w:rsid w:val="00E317EA"/>
    <w:rsid w:val="00E31E86"/>
    <w:rsid w:val="00E33269"/>
    <w:rsid w:val="00E334FD"/>
    <w:rsid w:val="00E3353C"/>
    <w:rsid w:val="00E336B9"/>
    <w:rsid w:val="00E339E5"/>
    <w:rsid w:val="00E33F47"/>
    <w:rsid w:val="00E34641"/>
    <w:rsid w:val="00E35045"/>
    <w:rsid w:val="00E35289"/>
    <w:rsid w:val="00E35313"/>
    <w:rsid w:val="00E353C7"/>
    <w:rsid w:val="00E35670"/>
    <w:rsid w:val="00E3589B"/>
    <w:rsid w:val="00E35AF5"/>
    <w:rsid w:val="00E35E21"/>
    <w:rsid w:val="00E362F4"/>
    <w:rsid w:val="00E36480"/>
    <w:rsid w:val="00E366FC"/>
    <w:rsid w:val="00E36C26"/>
    <w:rsid w:val="00E40271"/>
    <w:rsid w:val="00E40C30"/>
    <w:rsid w:val="00E41725"/>
    <w:rsid w:val="00E4173A"/>
    <w:rsid w:val="00E41B1F"/>
    <w:rsid w:val="00E41DA5"/>
    <w:rsid w:val="00E421F9"/>
    <w:rsid w:val="00E42601"/>
    <w:rsid w:val="00E428A1"/>
    <w:rsid w:val="00E42D61"/>
    <w:rsid w:val="00E43A23"/>
    <w:rsid w:val="00E43AFE"/>
    <w:rsid w:val="00E43CE2"/>
    <w:rsid w:val="00E44853"/>
    <w:rsid w:val="00E44D63"/>
    <w:rsid w:val="00E44E77"/>
    <w:rsid w:val="00E479E6"/>
    <w:rsid w:val="00E47FDD"/>
    <w:rsid w:val="00E50141"/>
    <w:rsid w:val="00E504AE"/>
    <w:rsid w:val="00E5056D"/>
    <w:rsid w:val="00E50B43"/>
    <w:rsid w:val="00E50DBF"/>
    <w:rsid w:val="00E50E16"/>
    <w:rsid w:val="00E50F55"/>
    <w:rsid w:val="00E512DD"/>
    <w:rsid w:val="00E5152E"/>
    <w:rsid w:val="00E52222"/>
    <w:rsid w:val="00E52231"/>
    <w:rsid w:val="00E5276E"/>
    <w:rsid w:val="00E52BFC"/>
    <w:rsid w:val="00E52C32"/>
    <w:rsid w:val="00E52D0F"/>
    <w:rsid w:val="00E5326F"/>
    <w:rsid w:val="00E53EE1"/>
    <w:rsid w:val="00E53F4B"/>
    <w:rsid w:val="00E545E3"/>
    <w:rsid w:val="00E549FA"/>
    <w:rsid w:val="00E55658"/>
    <w:rsid w:val="00E5580A"/>
    <w:rsid w:val="00E5654E"/>
    <w:rsid w:val="00E565D9"/>
    <w:rsid w:val="00E56B51"/>
    <w:rsid w:val="00E56B98"/>
    <w:rsid w:val="00E56D6F"/>
    <w:rsid w:val="00E56D7D"/>
    <w:rsid w:val="00E56DDB"/>
    <w:rsid w:val="00E57071"/>
    <w:rsid w:val="00E578AE"/>
    <w:rsid w:val="00E57D14"/>
    <w:rsid w:val="00E57E5B"/>
    <w:rsid w:val="00E60496"/>
    <w:rsid w:val="00E60A80"/>
    <w:rsid w:val="00E60C18"/>
    <w:rsid w:val="00E60D1A"/>
    <w:rsid w:val="00E610F7"/>
    <w:rsid w:val="00E61956"/>
    <w:rsid w:val="00E61BE0"/>
    <w:rsid w:val="00E61CE6"/>
    <w:rsid w:val="00E61EE9"/>
    <w:rsid w:val="00E61F7B"/>
    <w:rsid w:val="00E6300C"/>
    <w:rsid w:val="00E63538"/>
    <w:rsid w:val="00E63ADA"/>
    <w:rsid w:val="00E63E4E"/>
    <w:rsid w:val="00E64D74"/>
    <w:rsid w:val="00E651ED"/>
    <w:rsid w:val="00E65538"/>
    <w:rsid w:val="00E65841"/>
    <w:rsid w:val="00E65C09"/>
    <w:rsid w:val="00E65C36"/>
    <w:rsid w:val="00E65D3C"/>
    <w:rsid w:val="00E66526"/>
    <w:rsid w:val="00E66B12"/>
    <w:rsid w:val="00E676B7"/>
    <w:rsid w:val="00E70033"/>
    <w:rsid w:val="00E703C3"/>
    <w:rsid w:val="00E70D6D"/>
    <w:rsid w:val="00E71B17"/>
    <w:rsid w:val="00E71EA8"/>
    <w:rsid w:val="00E72009"/>
    <w:rsid w:val="00E72202"/>
    <w:rsid w:val="00E723CC"/>
    <w:rsid w:val="00E726E8"/>
    <w:rsid w:val="00E729A3"/>
    <w:rsid w:val="00E7303D"/>
    <w:rsid w:val="00E73D63"/>
    <w:rsid w:val="00E73F3C"/>
    <w:rsid w:val="00E7448B"/>
    <w:rsid w:val="00E754A0"/>
    <w:rsid w:val="00E7600D"/>
    <w:rsid w:val="00E76099"/>
    <w:rsid w:val="00E76361"/>
    <w:rsid w:val="00E7647B"/>
    <w:rsid w:val="00E76483"/>
    <w:rsid w:val="00E7780E"/>
    <w:rsid w:val="00E779E4"/>
    <w:rsid w:val="00E77D69"/>
    <w:rsid w:val="00E802F9"/>
    <w:rsid w:val="00E80FC9"/>
    <w:rsid w:val="00E80FF7"/>
    <w:rsid w:val="00E81670"/>
    <w:rsid w:val="00E81A58"/>
    <w:rsid w:val="00E81B77"/>
    <w:rsid w:val="00E81F04"/>
    <w:rsid w:val="00E81F9B"/>
    <w:rsid w:val="00E82027"/>
    <w:rsid w:val="00E82C42"/>
    <w:rsid w:val="00E83D6B"/>
    <w:rsid w:val="00E83FD0"/>
    <w:rsid w:val="00E841E1"/>
    <w:rsid w:val="00E84936"/>
    <w:rsid w:val="00E84E33"/>
    <w:rsid w:val="00E85278"/>
    <w:rsid w:val="00E85472"/>
    <w:rsid w:val="00E85890"/>
    <w:rsid w:val="00E86A1B"/>
    <w:rsid w:val="00E86E1C"/>
    <w:rsid w:val="00E87D17"/>
    <w:rsid w:val="00E9090E"/>
    <w:rsid w:val="00E90F71"/>
    <w:rsid w:val="00E910C6"/>
    <w:rsid w:val="00E91264"/>
    <w:rsid w:val="00E91418"/>
    <w:rsid w:val="00E9144F"/>
    <w:rsid w:val="00E9192C"/>
    <w:rsid w:val="00E919F9"/>
    <w:rsid w:val="00E9258E"/>
    <w:rsid w:val="00E92822"/>
    <w:rsid w:val="00E92C8F"/>
    <w:rsid w:val="00E9364D"/>
    <w:rsid w:val="00E9366D"/>
    <w:rsid w:val="00E93A39"/>
    <w:rsid w:val="00E93B1D"/>
    <w:rsid w:val="00E941A5"/>
    <w:rsid w:val="00E9424A"/>
    <w:rsid w:val="00E946A7"/>
    <w:rsid w:val="00E95037"/>
    <w:rsid w:val="00E95687"/>
    <w:rsid w:val="00E95C3E"/>
    <w:rsid w:val="00E963F0"/>
    <w:rsid w:val="00E968CE"/>
    <w:rsid w:val="00E96C43"/>
    <w:rsid w:val="00E97758"/>
    <w:rsid w:val="00E978E8"/>
    <w:rsid w:val="00E97AD6"/>
    <w:rsid w:val="00EA07F0"/>
    <w:rsid w:val="00EA0853"/>
    <w:rsid w:val="00EA0D52"/>
    <w:rsid w:val="00EA10B6"/>
    <w:rsid w:val="00EA135F"/>
    <w:rsid w:val="00EA1BEC"/>
    <w:rsid w:val="00EA289F"/>
    <w:rsid w:val="00EA28A4"/>
    <w:rsid w:val="00EA2CBE"/>
    <w:rsid w:val="00EA3108"/>
    <w:rsid w:val="00EA31F9"/>
    <w:rsid w:val="00EA3454"/>
    <w:rsid w:val="00EA3ED1"/>
    <w:rsid w:val="00EA404F"/>
    <w:rsid w:val="00EA40F3"/>
    <w:rsid w:val="00EA490B"/>
    <w:rsid w:val="00EA5650"/>
    <w:rsid w:val="00EA5F82"/>
    <w:rsid w:val="00EA64A0"/>
    <w:rsid w:val="00EA64D0"/>
    <w:rsid w:val="00EA6B48"/>
    <w:rsid w:val="00EA759C"/>
    <w:rsid w:val="00EA766F"/>
    <w:rsid w:val="00EB0090"/>
    <w:rsid w:val="00EB0F1C"/>
    <w:rsid w:val="00EB1E7D"/>
    <w:rsid w:val="00EB1F63"/>
    <w:rsid w:val="00EB21DA"/>
    <w:rsid w:val="00EB2D12"/>
    <w:rsid w:val="00EB2F8D"/>
    <w:rsid w:val="00EB3E3C"/>
    <w:rsid w:val="00EB5077"/>
    <w:rsid w:val="00EB52F8"/>
    <w:rsid w:val="00EB5523"/>
    <w:rsid w:val="00EB5AFB"/>
    <w:rsid w:val="00EB5C88"/>
    <w:rsid w:val="00EB5D3A"/>
    <w:rsid w:val="00EB61D2"/>
    <w:rsid w:val="00EB6CE7"/>
    <w:rsid w:val="00EB7482"/>
    <w:rsid w:val="00EB7E5B"/>
    <w:rsid w:val="00EC0243"/>
    <w:rsid w:val="00EC0739"/>
    <w:rsid w:val="00EC1501"/>
    <w:rsid w:val="00EC299A"/>
    <w:rsid w:val="00EC2EBA"/>
    <w:rsid w:val="00EC3443"/>
    <w:rsid w:val="00EC351A"/>
    <w:rsid w:val="00EC459D"/>
    <w:rsid w:val="00EC4CEF"/>
    <w:rsid w:val="00EC5117"/>
    <w:rsid w:val="00EC5E83"/>
    <w:rsid w:val="00EC5F95"/>
    <w:rsid w:val="00EC60AB"/>
    <w:rsid w:val="00EC61B2"/>
    <w:rsid w:val="00EC642F"/>
    <w:rsid w:val="00EC6665"/>
    <w:rsid w:val="00EC68CF"/>
    <w:rsid w:val="00EC6F95"/>
    <w:rsid w:val="00EC743B"/>
    <w:rsid w:val="00EC7703"/>
    <w:rsid w:val="00ED0379"/>
    <w:rsid w:val="00ED0619"/>
    <w:rsid w:val="00ED0DD5"/>
    <w:rsid w:val="00ED0E1D"/>
    <w:rsid w:val="00ED1124"/>
    <w:rsid w:val="00ED1AC8"/>
    <w:rsid w:val="00ED1FE8"/>
    <w:rsid w:val="00ED2203"/>
    <w:rsid w:val="00ED2625"/>
    <w:rsid w:val="00ED2A54"/>
    <w:rsid w:val="00ED2DB8"/>
    <w:rsid w:val="00ED2E21"/>
    <w:rsid w:val="00ED30EA"/>
    <w:rsid w:val="00ED3180"/>
    <w:rsid w:val="00ED39DD"/>
    <w:rsid w:val="00ED3A85"/>
    <w:rsid w:val="00ED3B5A"/>
    <w:rsid w:val="00ED3C2B"/>
    <w:rsid w:val="00ED41A0"/>
    <w:rsid w:val="00ED47C1"/>
    <w:rsid w:val="00ED4CEF"/>
    <w:rsid w:val="00ED4D82"/>
    <w:rsid w:val="00ED5535"/>
    <w:rsid w:val="00ED67D2"/>
    <w:rsid w:val="00ED69A7"/>
    <w:rsid w:val="00ED6A7B"/>
    <w:rsid w:val="00ED6F2D"/>
    <w:rsid w:val="00ED7B6D"/>
    <w:rsid w:val="00ED7DD1"/>
    <w:rsid w:val="00ED7E9B"/>
    <w:rsid w:val="00EE0D72"/>
    <w:rsid w:val="00EE0D82"/>
    <w:rsid w:val="00EE0EE1"/>
    <w:rsid w:val="00EE106B"/>
    <w:rsid w:val="00EE1472"/>
    <w:rsid w:val="00EE15FE"/>
    <w:rsid w:val="00EE1AA8"/>
    <w:rsid w:val="00EE1C4F"/>
    <w:rsid w:val="00EE22DB"/>
    <w:rsid w:val="00EE3527"/>
    <w:rsid w:val="00EE354D"/>
    <w:rsid w:val="00EE416F"/>
    <w:rsid w:val="00EE4481"/>
    <w:rsid w:val="00EE4546"/>
    <w:rsid w:val="00EE4583"/>
    <w:rsid w:val="00EE4726"/>
    <w:rsid w:val="00EE4A9D"/>
    <w:rsid w:val="00EE4D51"/>
    <w:rsid w:val="00EE50E1"/>
    <w:rsid w:val="00EE5808"/>
    <w:rsid w:val="00EE59E9"/>
    <w:rsid w:val="00EE5B05"/>
    <w:rsid w:val="00EE6563"/>
    <w:rsid w:val="00EE68F9"/>
    <w:rsid w:val="00EE6F44"/>
    <w:rsid w:val="00EE7482"/>
    <w:rsid w:val="00EE75FC"/>
    <w:rsid w:val="00EE7953"/>
    <w:rsid w:val="00EF0C16"/>
    <w:rsid w:val="00EF0E39"/>
    <w:rsid w:val="00EF1121"/>
    <w:rsid w:val="00EF1770"/>
    <w:rsid w:val="00EF18C7"/>
    <w:rsid w:val="00EF1BC5"/>
    <w:rsid w:val="00EF2025"/>
    <w:rsid w:val="00EF2568"/>
    <w:rsid w:val="00EF275E"/>
    <w:rsid w:val="00EF2C3A"/>
    <w:rsid w:val="00EF2E5E"/>
    <w:rsid w:val="00EF2FE6"/>
    <w:rsid w:val="00EF35C1"/>
    <w:rsid w:val="00EF3944"/>
    <w:rsid w:val="00EF3C0A"/>
    <w:rsid w:val="00EF3EB4"/>
    <w:rsid w:val="00EF428D"/>
    <w:rsid w:val="00EF44A4"/>
    <w:rsid w:val="00EF4D29"/>
    <w:rsid w:val="00EF553D"/>
    <w:rsid w:val="00EF5855"/>
    <w:rsid w:val="00EF6032"/>
    <w:rsid w:val="00EF6125"/>
    <w:rsid w:val="00EF626A"/>
    <w:rsid w:val="00EF6808"/>
    <w:rsid w:val="00EF6E1B"/>
    <w:rsid w:val="00EF6E9A"/>
    <w:rsid w:val="00EF727D"/>
    <w:rsid w:val="00EF79B7"/>
    <w:rsid w:val="00F00E7B"/>
    <w:rsid w:val="00F0191B"/>
    <w:rsid w:val="00F01C1B"/>
    <w:rsid w:val="00F01F43"/>
    <w:rsid w:val="00F02833"/>
    <w:rsid w:val="00F031F3"/>
    <w:rsid w:val="00F03521"/>
    <w:rsid w:val="00F0383C"/>
    <w:rsid w:val="00F038CB"/>
    <w:rsid w:val="00F03E32"/>
    <w:rsid w:val="00F048CB"/>
    <w:rsid w:val="00F04B68"/>
    <w:rsid w:val="00F052A3"/>
    <w:rsid w:val="00F05A47"/>
    <w:rsid w:val="00F06BCF"/>
    <w:rsid w:val="00F06E9F"/>
    <w:rsid w:val="00F06EEF"/>
    <w:rsid w:val="00F071D0"/>
    <w:rsid w:val="00F103F3"/>
    <w:rsid w:val="00F109F5"/>
    <w:rsid w:val="00F10F8D"/>
    <w:rsid w:val="00F112CE"/>
    <w:rsid w:val="00F117D1"/>
    <w:rsid w:val="00F11F5C"/>
    <w:rsid w:val="00F123FA"/>
    <w:rsid w:val="00F12559"/>
    <w:rsid w:val="00F12829"/>
    <w:rsid w:val="00F1335C"/>
    <w:rsid w:val="00F1351E"/>
    <w:rsid w:val="00F13F01"/>
    <w:rsid w:val="00F140A8"/>
    <w:rsid w:val="00F14205"/>
    <w:rsid w:val="00F145CC"/>
    <w:rsid w:val="00F146DE"/>
    <w:rsid w:val="00F14DE8"/>
    <w:rsid w:val="00F15101"/>
    <w:rsid w:val="00F1646A"/>
    <w:rsid w:val="00F16751"/>
    <w:rsid w:val="00F16F96"/>
    <w:rsid w:val="00F17DCE"/>
    <w:rsid w:val="00F17DF9"/>
    <w:rsid w:val="00F20AF8"/>
    <w:rsid w:val="00F21C6D"/>
    <w:rsid w:val="00F22045"/>
    <w:rsid w:val="00F22AAB"/>
    <w:rsid w:val="00F230A7"/>
    <w:rsid w:val="00F2386C"/>
    <w:rsid w:val="00F23939"/>
    <w:rsid w:val="00F23A9C"/>
    <w:rsid w:val="00F23ABD"/>
    <w:rsid w:val="00F2481D"/>
    <w:rsid w:val="00F24A39"/>
    <w:rsid w:val="00F24AEA"/>
    <w:rsid w:val="00F265E6"/>
    <w:rsid w:val="00F269A0"/>
    <w:rsid w:val="00F26E68"/>
    <w:rsid w:val="00F26E90"/>
    <w:rsid w:val="00F27153"/>
    <w:rsid w:val="00F30530"/>
    <w:rsid w:val="00F309D8"/>
    <w:rsid w:val="00F30B99"/>
    <w:rsid w:val="00F3164A"/>
    <w:rsid w:val="00F318E3"/>
    <w:rsid w:val="00F31D62"/>
    <w:rsid w:val="00F31E38"/>
    <w:rsid w:val="00F321D4"/>
    <w:rsid w:val="00F326B4"/>
    <w:rsid w:val="00F32F7C"/>
    <w:rsid w:val="00F333C3"/>
    <w:rsid w:val="00F33819"/>
    <w:rsid w:val="00F350CE"/>
    <w:rsid w:val="00F3613D"/>
    <w:rsid w:val="00F36262"/>
    <w:rsid w:val="00F3641B"/>
    <w:rsid w:val="00F36C4A"/>
    <w:rsid w:val="00F36CBA"/>
    <w:rsid w:val="00F36F25"/>
    <w:rsid w:val="00F37423"/>
    <w:rsid w:val="00F3744A"/>
    <w:rsid w:val="00F37B8B"/>
    <w:rsid w:val="00F37DAC"/>
    <w:rsid w:val="00F40254"/>
    <w:rsid w:val="00F40271"/>
    <w:rsid w:val="00F40665"/>
    <w:rsid w:val="00F408F5"/>
    <w:rsid w:val="00F409BA"/>
    <w:rsid w:val="00F40A7A"/>
    <w:rsid w:val="00F41192"/>
    <w:rsid w:val="00F412C9"/>
    <w:rsid w:val="00F4137A"/>
    <w:rsid w:val="00F42161"/>
    <w:rsid w:val="00F4317A"/>
    <w:rsid w:val="00F43A21"/>
    <w:rsid w:val="00F43A6D"/>
    <w:rsid w:val="00F43C55"/>
    <w:rsid w:val="00F44088"/>
    <w:rsid w:val="00F4444B"/>
    <w:rsid w:val="00F4485E"/>
    <w:rsid w:val="00F44C0E"/>
    <w:rsid w:val="00F45319"/>
    <w:rsid w:val="00F4588D"/>
    <w:rsid w:val="00F4684E"/>
    <w:rsid w:val="00F476D7"/>
    <w:rsid w:val="00F47AA8"/>
    <w:rsid w:val="00F501D5"/>
    <w:rsid w:val="00F50551"/>
    <w:rsid w:val="00F50591"/>
    <w:rsid w:val="00F508A4"/>
    <w:rsid w:val="00F50974"/>
    <w:rsid w:val="00F50F52"/>
    <w:rsid w:val="00F51932"/>
    <w:rsid w:val="00F520B5"/>
    <w:rsid w:val="00F521CC"/>
    <w:rsid w:val="00F52A3A"/>
    <w:rsid w:val="00F52C07"/>
    <w:rsid w:val="00F5441A"/>
    <w:rsid w:val="00F5454A"/>
    <w:rsid w:val="00F54B0C"/>
    <w:rsid w:val="00F55023"/>
    <w:rsid w:val="00F551FE"/>
    <w:rsid w:val="00F55507"/>
    <w:rsid w:val="00F55601"/>
    <w:rsid w:val="00F55DDD"/>
    <w:rsid w:val="00F55E15"/>
    <w:rsid w:val="00F5600C"/>
    <w:rsid w:val="00F56264"/>
    <w:rsid w:val="00F56324"/>
    <w:rsid w:val="00F57228"/>
    <w:rsid w:val="00F5747A"/>
    <w:rsid w:val="00F57777"/>
    <w:rsid w:val="00F577D2"/>
    <w:rsid w:val="00F57D89"/>
    <w:rsid w:val="00F6020E"/>
    <w:rsid w:val="00F6025E"/>
    <w:rsid w:val="00F6039B"/>
    <w:rsid w:val="00F60A00"/>
    <w:rsid w:val="00F60C69"/>
    <w:rsid w:val="00F60C86"/>
    <w:rsid w:val="00F60E61"/>
    <w:rsid w:val="00F60F93"/>
    <w:rsid w:val="00F616C8"/>
    <w:rsid w:val="00F61828"/>
    <w:rsid w:val="00F61A16"/>
    <w:rsid w:val="00F620C7"/>
    <w:rsid w:val="00F62BC2"/>
    <w:rsid w:val="00F632AC"/>
    <w:rsid w:val="00F6378A"/>
    <w:rsid w:val="00F640E4"/>
    <w:rsid w:val="00F64A0B"/>
    <w:rsid w:val="00F64A2D"/>
    <w:rsid w:val="00F64D28"/>
    <w:rsid w:val="00F6515D"/>
    <w:rsid w:val="00F655AE"/>
    <w:rsid w:val="00F6590C"/>
    <w:rsid w:val="00F65DB5"/>
    <w:rsid w:val="00F661C5"/>
    <w:rsid w:val="00F66539"/>
    <w:rsid w:val="00F667DE"/>
    <w:rsid w:val="00F66BDA"/>
    <w:rsid w:val="00F672DB"/>
    <w:rsid w:val="00F679BB"/>
    <w:rsid w:val="00F67A69"/>
    <w:rsid w:val="00F70391"/>
    <w:rsid w:val="00F71018"/>
    <w:rsid w:val="00F718BE"/>
    <w:rsid w:val="00F71A3F"/>
    <w:rsid w:val="00F71BCE"/>
    <w:rsid w:val="00F7233E"/>
    <w:rsid w:val="00F7292D"/>
    <w:rsid w:val="00F72AC7"/>
    <w:rsid w:val="00F72E89"/>
    <w:rsid w:val="00F72EC0"/>
    <w:rsid w:val="00F73525"/>
    <w:rsid w:val="00F73603"/>
    <w:rsid w:val="00F736B1"/>
    <w:rsid w:val="00F74E62"/>
    <w:rsid w:val="00F750E2"/>
    <w:rsid w:val="00F7524A"/>
    <w:rsid w:val="00F755FA"/>
    <w:rsid w:val="00F75870"/>
    <w:rsid w:val="00F75DDE"/>
    <w:rsid w:val="00F7604D"/>
    <w:rsid w:val="00F76617"/>
    <w:rsid w:val="00F76A0C"/>
    <w:rsid w:val="00F76EDC"/>
    <w:rsid w:val="00F77643"/>
    <w:rsid w:val="00F776F6"/>
    <w:rsid w:val="00F77761"/>
    <w:rsid w:val="00F77D1B"/>
    <w:rsid w:val="00F80E54"/>
    <w:rsid w:val="00F80FE0"/>
    <w:rsid w:val="00F81221"/>
    <w:rsid w:val="00F816B4"/>
    <w:rsid w:val="00F8180C"/>
    <w:rsid w:val="00F81E35"/>
    <w:rsid w:val="00F81E75"/>
    <w:rsid w:val="00F824DF"/>
    <w:rsid w:val="00F827CF"/>
    <w:rsid w:val="00F8287E"/>
    <w:rsid w:val="00F82B2C"/>
    <w:rsid w:val="00F837D4"/>
    <w:rsid w:val="00F839A1"/>
    <w:rsid w:val="00F83AC9"/>
    <w:rsid w:val="00F83BCB"/>
    <w:rsid w:val="00F83DB9"/>
    <w:rsid w:val="00F84702"/>
    <w:rsid w:val="00F85157"/>
    <w:rsid w:val="00F851B7"/>
    <w:rsid w:val="00F85D8C"/>
    <w:rsid w:val="00F85DA6"/>
    <w:rsid w:val="00F86248"/>
    <w:rsid w:val="00F86446"/>
    <w:rsid w:val="00F86C1E"/>
    <w:rsid w:val="00F87641"/>
    <w:rsid w:val="00F87894"/>
    <w:rsid w:val="00F87F1A"/>
    <w:rsid w:val="00F914D3"/>
    <w:rsid w:val="00F91E62"/>
    <w:rsid w:val="00F91F09"/>
    <w:rsid w:val="00F923B7"/>
    <w:rsid w:val="00F92515"/>
    <w:rsid w:val="00F92563"/>
    <w:rsid w:val="00F92B6E"/>
    <w:rsid w:val="00F92C54"/>
    <w:rsid w:val="00F9309A"/>
    <w:rsid w:val="00F932B9"/>
    <w:rsid w:val="00F9391E"/>
    <w:rsid w:val="00F94128"/>
    <w:rsid w:val="00F94968"/>
    <w:rsid w:val="00F94C89"/>
    <w:rsid w:val="00F95461"/>
    <w:rsid w:val="00F9550D"/>
    <w:rsid w:val="00F95DFC"/>
    <w:rsid w:val="00F96A57"/>
    <w:rsid w:val="00F96F63"/>
    <w:rsid w:val="00F97646"/>
    <w:rsid w:val="00F9782F"/>
    <w:rsid w:val="00FA10F7"/>
    <w:rsid w:val="00FA11E4"/>
    <w:rsid w:val="00FA2005"/>
    <w:rsid w:val="00FA2D60"/>
    <w:rsid w:val="00FA3AC5"/>
    <w:rsid w:val="00FA42C3"/>
    <w:rsid w:val="00FA494B"/>
    <w:rsid w:val="00FA5CB1"/>
    <w:rsid w:val="00FA662D"/>
    <w:rsid w:val="00FA6C84"/>
    <w:rsid w:val="00FA704A"/>
    <w:rsid w:val="00FA7847"/>
    <w:rsid w:val="00FA78A3"/>
    <w:rsid w:val="00FA7995"/>
    <w:rsid w:val="00FA79BF"/>
    <w:rsid w:val="00FA7D77"/>
    <w:rsid w:val="00FB1617"/>
    <w:rsid w:val="00FB1978"/>
    <w:rsid w:val="00FB1AF6"/>
    <w:rsid w:val="00FB20FF"/>
    <w:rsid w:val="00FB21C2"/>
    <w:rsid w:val="00FB29F2"/>
    <w:rsid w:val="00FB2CF2"/>
    <w:rsid w:val="00FB2EC2"/>
    <w:rsid w:val="00FB2FBA"/>
    <w:rsid w:val="00FB3B3C"/>
    <w:rsid w:val="00FB3CED"/>
    <w:rsid w:val="00FB3EE9"/>
    <w:rsid w:val="00FB3FA9"/>
    <w:rsid w:val="00FB4280"/>
    <w:rsid w:val="00FB525A"/>
    <w:rsid w:val="00FB57B8"/>
    <w:rsid w:val="00FB5A32"/>
    <w:rsid w:val="00FB678E"/>
    <w:rsid w:val="00FB681D"/>
    <w:rsid w:val="00FB6858"/>
    <w:rsid w:val="00FB6859"/>
    <w:rsid w:val="00FB6F72"/>
    <w:rsid w:val="00FB708C"/>
    <w:rsid w:val="00FB70A5"/>
    <w:rsid w:val="00FB70FC"/>
    <w:rsid w:val="00FB723B"/>
    <w:rsid w:val="00FB7961"/>
    <w:rsid w:val="00FB7FF8"/>
    <w:rsid w:val="00FC0586"/>
    <w:rsid w:val="00FC075F"/>
    <w:rsid w:val="00FC0E23"/>
    <w:rsid w:val="00FC1AD1"/>
    <w:rsid w:val="00FC24EB"/>
    <w:rsid w:val="00FC2507"/>
    <w:rsid w:val="00FC2E2E"/>
    <w:rsid w:val="00FC3782"/>
    <w:rsid w:val="00FC3858"/>
    <w:rsid w:val="00FC416B"/>
    <w:rsid w:val="00FC4216"/>
    <w:rsid w:val="00FC449C"/>
    <w:rsid w:val="00FC4A29"/>
    <w:rsid w:val="00FC4B3C"/>
    <w:rsid w:val="00FC5265"/>
    <w:rsid w:val="00FC533C"/>
    <w:rsid w:val="00FC6291"/>
    <w:rsid w:val="00FC63CF"/>
    <w:rsid w:val="00FC65B9"/>
    <w:rsid w:val="00FC66AC"/>
    <w:rsid w:val="00FC6861"/>
    <w:rsid w:val="00FC6AD4"/>
    <w:rsid w:val="00FC6C7A"/>
    <w:rsid w:val="00FC74C2"/>
    <w:rsid w:val="00FC7609"/>
    <w:rsid w:val="00FC7BCA"/>
    <w:rsid w:val="00FC7BD2"/>
    <w:rsid w:val="00FC7D3D"/>
    <w:rsid w:val="00FD0261"/>
    <w:rsid w:val="00FD02F7"/>
    <w:rsid w:val="00FD05D7"/>
    <w:rsid w:val="00FD09ED"/>
    <w:rsid w:val="00FD0E68"/>
    <w:rsid w:val="00FD169A"/>
    <w:rsid w:val="00FD19A3"/>
    <w:rsid w:val="00FD1C14"/>
    <w:rsid w:val="00FD26D4"/>
    <w:rsid w:val="00FD2A9E"/>
    <w:rsid w:val="00FD2E7D"/>
    <w:rsid w:val="00FD337C"/>
    <w:rsid w:val="00FD3396"/>
    <w:rsid w:val="00FD3831"/>
    <w:rsid w:val="00FD3898"/>
    <w:rsid w:val="00FD3CC5"/>
    <w:rsid w:val="00FD3D79"/>
    <w:rsid w:val="00FD41AC"/>
    <w:rsid w:val="00FD44C2"/>
    <w:rsid w:val="00FD4612"/>
    <w:rsid w:val="00FD4730"/>
    <w:rsid w:val="00FD4760"/>
    <w:rsid w:val="00FD4896"/>
    <w:rsid w:val="00FD4B9F"/>
    <w:rsid w:val="00FD5A73"/>
    <w:rsid w:val="00FD5B14"/>
    <w:rsid w:val="00FD5F5A"/>
    <w:rsid w:val="00FD6656"/>
    <w:rsid w:val="00FD6735"/>
    <w:rsid w:val="00FD6AAF"/>
    <w:rsid w:val="00FD6F27"/>
    <w:rsid w:val="00FD78A3"/>
    <w:rsid w:val="00FD7ACD"/>
    <w:rsid w:val="00FD7F65"/>
    <w:rsid w:val="00FE08DB"/>
    <w:rsid w:val="00FE0A73"/>
    <w:rsid w:val="00FE0E27"/>
    <w:rsid w:val="00FE0E59"/>
    <w:rsid w:val="00FE103A"/>
    <w:rsid w:val="00FE133C"/>
    <w:rsid w:val="00FE1806"/>
    <w:rsid w:val="00FE26E5"/>
    <w:rsid w:val="00FE2C5D"/>
    <w:rsid w:val="00FE2E34"/>
    <w:rsid w:val="00FE37AF"/>
    <w:rsid w:val="00FE39A9"/>
    <w:rsid w:val="00FE3A82"/>
    <w:rsid w:val="00FE3B89"/>
    <w:rsid w:val="00FE3C50"/>
    <w:rsid w:val="00FE4520"/>
    <w:rsid w:val="00FE5AA2"/>
    <w:rsid w:val="00FE5C7B"/>
    <w:rsid w:val="00FE5FAF"/>
    <w:rsid w:val="00FE6A95"/>
    <w:rsid w:val="00FE6B97"/>
    <w:rsid w:val="00FE75BC"/>
    <w:rsid w:val="00FE78F2"/>
    <w:rsid w:val="00FE7CCF"/>
    <w:rsid w:val="00FF00BB"/>
    <w:rsid w:val="00FF0697"/>
    <w:rsid w:val="00FF0E92"/>
    <w:rsid w:val="00FF0F5C"/>
    <w:rsid w:val="00FF1563"/>
    <w:rsid w:val="00FF205A"/>
    <w:rsid w:val="00FF25E4"/>
    <w:rsid w:val="00FF3071"/>
    <w:rsid w:val="00FF30A3"/>
    <w:rsid w:val="00FF444B"/>
    <w:rsid w:val="00FF4507"/>
    <w:rsid w:val="00FF4D82"/>
    <w:rsid w:val="00FF5254"/>
    <w:rsid w:val="00FF5485"/>
    <w:rsid w:val="00FF554F"/>
    <w:rsid w:val="00FF5BED"/>
    <w:rsid w:val="00FF5F3B"/>
    <w:rsid w:val="00FF641E"/>
    <w:rsid w:val="00FF643C"/>
    <w:rsid w:val="00FF66CD"/>
    <w:rsid w:val="00FF6D46"/>
    <w:rsid w:val="00FF6FAF"/>
    <w:rsid w:val="00FF70F3"/>
    <w:rsid w:val="00FF7254"/>
    <w:rsid w:val="00FF7E82"/>
    <w:rsid w:val="01835BC0"/>
    <w:rsid w:val="01F00772"/>
    <w:rsid w:val="174E41FD"/>
    <w:rsid w:val="1EE1600A"/>
    <w:rsid w:val="20BD1CCC"/>
    <w:rsid w:val="2A2C1001"/>
    <w:rsid w:val="2B40703B"/>
    <w:rsid w:val="2C8B7E36"/>
    <w:rsid w:val="32F11407"/>
    <w:rsid w:val="36940CD3"/>
    <w:rsid w:val="473444BA"/>
    <w:rsid w:val="4E975E56"/>
    <w:rsid w:val="5AE97191"/>
    <w:rsid w:val="62CD2F25"/>
    <w:rsid w:val="67681594"/>
    <w:rsid w:val="75AA05F6"/>
    <w:rsid w:val="7E3E669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nhideWhenUsed="0" w:uiPriority="0"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semiHidden="0"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qFormat="1" w:unhideWhenUsed="0" w:uiPriority="0" w:semiHidden="0" w:name="Body Text First Indent 2"/>
    <w:lsdException w:uiPriority="99" w:name="Note Heading"/>
    <w:lsdException w:qFormat="1"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2"/>
      <w:lang w:val="en-US" w:eastAsia="zh-CN" w:bidi="ar-SA"/>
    </w:rPr>
  </w:style>
  <w:style w:type="paragraph" w:styleId="2">
    <w:name w:val="heading 1"/>
    <w:basedOn w:val="1"/>
    <w:next w:val="1"/>
    <w:link w:val="47"/>
    <w:qFormat/>
    <w:uiPriority w:val="9"/>
    <w:pPr>
      <w:spacing w:beforeLines="50" w:afterLines="50" w:line="240" w:lineRule="auto"/>
      <w:jc w:val="center"/>
      <w:outlineLvl w:val="0"/>
    </w:pPr>
    <w:rPr>
      <w:b/>
      <w:bCs/>
      <w:kern w:val="44"/>
      <w:sz w:val="30"/>
      <w:szCs w:val="44"/>
    </w:rPr>
  </w:style>
  <w:style w:type="paragraph" w:styleId="3">
    <w:name w:val="heading 2"/>
    <w:basedOn w:val="1"/>
    <w:next w:val="1"/>
    <w:link w:val="50"/>
    <w:unhideWhenUsed/>
    <w:qFormat/>
    <w:uiPriority w:val="9"/>
    <w:pPr>
      <w:spacing w:beforeLines="50" w:afterLines="50" w:line="240" w:lineRule="auto"/>
      <w:jc w:val="center"/>
      <w:outlineLvl w:val="1"/>
    </w:pPr>
    <w:rPr>
      <w:b/>
      <w:bCs/>
      <w:sz w:val="28"/>
      <w:szCs w:val="32"/>
    </w:rPr>
  </w:style>
  <w:style w:type="paragraph" w:styleId="4">
    <w:name w:val="heading 3"/>
    <w:basedOn w:val="1"/>
    <w:next w:val="1"/>
    <w:link w:val="55"/>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80"/>
    <w:qFormat/>
    <w:uiPriority w:val="0"/>
    <w:pPr>
      <w:keepNext/>
      <w:keepLines/>
      <w:spacing w:before="280" w:after="290" w:line="376" w:lineRule="auto"/>
      <w:ind w:firstLine="200" w:firstLineChars="200"/>
      <w:outlineLvl w:val="3"/>
    </w:pPr>
    <w:rPr>
      <w:rFonts w:ascii="Arial" w:hAnsi="Arial" w:eastAsia="黑体"/>
      <w:b/>
      <w:bCs/>
      <w:sz w:val="28"/>
      <w:szCs w:val="28"/>
    </w:rPr>
  </w:style>
  <w:style w:type="paragraph" w:styleId="6">
    <w:name w:val="heading 5"/>
    <w:basedOn w:val="1"/>
    <w:next w:val="1"/>
    <w:link w:val="81"/>
    <w:qFormat/>
    <w:uiPriority w:val="0"/>
    <w:pPr>
      <w:keepNext/>
      <w:keepLines/>
      <w:spacing w:before="280" w:after="290" w:line="376" w:lineRule="auto"/>
      <w:outlineLvl w:val="4"/>
    </w:pPr>
    <w:rPr>
      <w:b/>
      <w:bCs/>
      <w:sz w:val="28"/>
      <w:szCs w:val="28"/>
    </w:rPr>
  </w:style>
  <w:style w:type="paragraph" w:styleId="7">
    <w:name w:val="heading 6"/>
    <w:basedOn w:val="1"/>
    <w:next w:val="1"/>
    <w:link w:val="82"/>
    <w:qFormat/>
    <w:uiPriority w:val="0"/>
    <w:pPr>
      <w:keepNext/>
      <w:keepLines/>
      <w:spacing w:before="240" w:after="64" w:line="320" w:lineRule="auto"/>
      <w:ind w:firstLine="200" w:firstLineChars="200"/>
      <w:outlineLvl w:val="5"/>
    </w:pPr>
    <w:rPr>
      <w:rFonts w:ascii="Arial" w:hAnsi="Arial" w:eastAsia="黑体"/>
      <w:b/>
      <w:bCs/>
      <w:szCs w:val="24"/>
    </w:rPr>
  </w:style>
  <w:style w:type="paragraph" w:styleId="8">
    <w:name w:val="heading 7"/>
    <w:basedOn w:val="1"/>
    <w:next w:val="1"/>
    <w:link w:val="83"/>
    <w:qFormat/>
    <w:uiPriority w:val="0"/>
    <w:pPr>
      <w:keepNext/>
      <w:keepLines/>
      <w:spacing w:before="240" w:after="64" w:line="320" w:lineRule="auto"/>
      <w:ind w:firstLine="200" w:firstLineChars="200"/>
      <w:outlineLvl w:val="6"/>
    </w:pPr>
    <w:rPr>
      <w:b/>
      <w:bCs/>
      <w:szCs w:val="24"/>
    </w:rPr>
  </w:style>
  <w:style w:type="paragraph" w:styleId="9">
    <w:name w:val="heading 8"/>
    <w:basedOn w:val="1"/>
    <w:next w:val="1"/>
    <w:link w:val="84"/>
    <w:qFormat/>
    <w:uiPriority w:val="0"/>
    <w:pPr>
      <w:keepNext/>
      <w:keepLines/>
      <w:spacing w:before="240" w:after="64" w:line="320" w:lineRule="auto"/>
      <w:ind w:firstLine="200" w:firstLineChars="200"/>
      <w:outlineLvl w:val="7"/>
    </w:pPr>
    <w:rPr>
      <w:rFonts w:ascii="Arial" w:hAnsi="Arial" w:eastAsia="黑体"/>
      <w:szCs w:val="24"/>
    </w:rPr>
  </w:style>
  <w:style w:type="paragraph" w:styleId="10">
    <w:name w:val="heading 9"/>
    <w:basedOn w:val="1"/>
    <w:next w:val="1"/>
    <w:link w:val="85"/>
    <w:qFormat/>
    <w:uiPriority w:val="0"/>
    <w:pPr>
      <w:keepNext/>
      <w:keepLines/>
      <w:spacing w:before="240" w:after="64" w:line="320" w:lineRule="auto"/>
      <w:ind w:firstLine="200" w:firstLineChars="200"/>
      <w:outlineLvl w:val="8"/>
    </w:pPr>
    <w:rPr>
      <w:rFonts w:ascii="Arial" w:hAnsi="Arial" w:eastAsia="黑体"/>
      <w:sz w:val="28"/>
      <w:szCs w:val="21"/>
    </w:rPr>
  </w:style>
  <w:style w:type="character" w:default="1" w:styleId="38">
    <w:name w:val="Default Paragraph Font"/>
    <w:unhideWhenUsed/>
    <w:uiPriority w:val="1"/>
  </w:style>
  <w:style w:type="table" w:default="1" w:styleId="44">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120"/>
    <w:semiHidden/>
    <w:qFormat/>
    <w:uiPriority w:val="0"/>
    <w:rPr>
      <w:b/>
      <w:bCs/>
    </w:rPr>
  </w:style>
  <w:style w:type="paragraph" w:styleId="12">
    <w:name w:val="annotation text"/>
    <w:basedOn w:val="1"/>
    <w:link w:val="99"/>
    <w:semiHidden/>
    <w:qFormat/>
    <w:uiPriority w:val="0"/>
    <w:pPr>
      <w:spacing w:line="240" w:lineRule="auto"/>
      <w:jc w:val="left"/>
    </w:pPr>
    <w:rPr>
      <w:rFonts w:ascii="Calibri" w:hAnsi="Calibri"/>
      <w:sz w:val="21"/>
      <w:szCs w:val="24"/>
    </w:rPr>
  </w:style>
  <w:style w:type="paragraph" w:styleId="13">
    <w:name w:val="Normal Indent"/>
    <w:basedOn w:val="1"/>
    <w:qFormat/>
    <w:uiPriority w:val="0"/>
    <w:pPr>
      <w:spacing w:line="440" w:lineRule="exact"/>
      <w:ind w:firstLine="420" w:firstLineChars="200"/>
    </w:pPr>
    <w:rPr>
      <w:szCs w:val="24"/>
    </w:rPr>
  </w:style>
  <w:style w:type="paragraph" w:styleId="14">
    <w:name w:val="caption"/>
    <w:basedOn w:val="1"/>
    <w:next w:val="1"/>
    <w:qFormat/>
    <w:uiPriority w:val="0"/>
    <w:pPr>
      <w:jc w:val="left"/>
    </w:pPr>
    <w:rPr>
      <w:kern w:val="0"/>
      <w:sz w:val="21"/>
      <w:szCs w:val="21"/>
    </w:rPr>
  </w:style>
  <w:style w:type="paragraph" w:styleId="15">
    <w:name w:val="List Bullet"/>
    <w:basedOn w:val="1"/>
    <w:qFormat/>
    <w:uiPriority w:val="0"/>
    <w:pPr>
      <w:tabs>
        <w:tab w:val="left" w:pos="720"/>
      </w:tabs>
      <w:spacing w:line="240" w:lineRule="auto"/>
      <w:ind w:left="450" w:hanging="450"/>
    </w:pPr>
    <w:rPr>
      <w:rFonts w:ascii="Plotter" w:hAnsi="Plotter"/>
      <w:szCs w:val="20"/>
    </w:rPr>
  </w:style>
  <w:style w:type="paragraph" w:styleId="16">
    <w:name w:val="Document Map"/>
    <w:basedOn w:val="1"/>
    <w:link w:val="56"/>
    <w:unhideWhenUsed/>
    <w:qFormat/>
    <w:uiPriority w:val="0"/>
    <w:rPr>
      <w:rFonts w:ascii="宋体"/>
      <w:sz w:val="18"/>
      <w:szCs w:val="18"/>
    </w:rPr>
  </w:style>
  <w:style w:type="paragraph" w:styleId="17">
    <w:name w:val="Body Text 3"/>
    <w:basedOn w:val="1"/>
    <w:link w:val="139"/>
    <w:qFormat/>
    <w:uiPriority w:val="0"/>
    <w:pPr>
      <w:adjustRightInd w:val="0"/>
      <w:snapToGrid w:val="0"/>
    </w:pPr>
    <w:rPr>
      <w:rFonts w:ascii="Calibri" w:hAnsi="Calibri"/>
      <w:kern w:val="0"/>
      <w:sz w:val="28"/>
      <w:szCs w:val="21"/>
      <w:lang w:val="zh-CN"/>
    </w:rPr>
  </w:style>
  <w:style w:type="paragraph" w:styleId="18">
    <w:name w:val="Body Text"/>
    <w:basedOn w:val="1"/>
    <w:link w:val="79"/>
    <w:unhideWhenUsed/>
    <w:qFormat/>
    <w:uiPriority w:val="0"/>
    <w:pPr>
      <w:spacing w:after="120"/>
    </w:pPr>
  </w:style>
  <w:style w:type="paragraph" w:styleId="19">
    <w:name w:val="Body Text Indent"/>
    <w:basedOn w:val="1"/>
    <w:link w:val="135"/>
    <w:qFormat/>
    <w:uiPriority w:val="0"/>
    <w:pPr>
      <w:ind w:left="947" w:leftChars="460" w:firstLine="200" w:firstLineChars="200"/>
    </w:pPr>
    <w:rPr>
      <w:rFonts w:ascii="Calibri" w:hAnsi="Calibri"/>
      <w:sz w:val="28"/>
      <w:szCs w:val="24"/>
    </w:rPr>
  </w:style>
  <w:style w:type="paragraph" w:styleId="20">
    <w:name w:val="Block Text"/>
    <w:basedOn w:val="1"/>
    <w:qFormat/>
    <w:uiPriority w:val="0"/>
    <w:pPr>
      <w:adjustRightInd w:val="0"/>
      <w:snapToGrid w:val="0"/>
      <w:ind w:left="420" w:leftChars="200" w:right="420" w:rightChars="200" w:firstLine="560" w:firstLineChars="200"/>
    </w:pPr>
    <w:rPr>
      <w:rFonts w:ascii="楷体_GB2312" w:hAnsi="宋体" w:eastAsia="楷体_GB2312"/>
      <w:bCs/>
      <w:sz w:val="28"/>
      <w:szCs w:val="30"/>
    </w:rPr>
  </w:style>
  <w:style w:type="paragraph" w:styleId="21">
    <w:name w:val="toc 3"/>
    <w:basedOn w:val="1"/>
    <w:next w:val="1"/>
    <w:qFormat/>
    <w:uiPriority w:val="0"/>
    <w:pPr>
      <w:spacing w:line="240" w:lineRule="auto"/>
      <w:ind w:left="840" w:leftChars="400"/>
    </w:pPr>
    <w:rPr>
      <w:sz w:val="21"/>
      <w:szCs w:val="24"/>
    </w:rPr>
  </w:style>
  <w:style w:type="paragraph" w:styleId="22">
    <w:name w:val="Plain Text"/>
    <w:basedOn w:val="1"/>
    <w:link w:val="70"/>
    <w:qFormat/>
    <w:uiPriority w:val="0"/>
    <w:rPr>
      <w:rFonts w:ascii="宋体" w:hAnsi="Courier"/>
      <w:kern w:val="0"/>
      <w:sz w:val="28"/>
      <w:szCs w:val="28"/>
    </w:rPr>
  </w:style>
  <w:style w:type="paragraph" w:styleId="23">
    <w:name w:val="Date"/>
    <w:basedOn w:val="1"/>
    <w:next w:val="1"/>
    <w:link w:val="49"/>
    <w:unhideWhenUsed/>
    <w:qFormat/>
    <w:uiPriority w:val="0"/>
    <w:pPr>
      <w:ind w:left="100" w:leftChars="2500"/>
    </w:pPr>
  </w:style>
  <w:style w:type="paragraph" w:styleId="24">
    <w:name w:val="Body Text Indent 2"/>
    <w:basedOn w:val="1"/>
    <w:link w:val="125"/>
    <w:qFormat/>
    <w:uiPriority w:val="0"/>
    <w:pPr>
      <w:framePr w:hSpace="180" w:wrap="around" w:vAnchor="page" w:hAnchor="margin" w:y="1855"/>
      <w:adjustRightInd w:val="0"/>
      <w:snapToGrid w:val="0"/>
      <w:spacing w:line="240" w:lineRule="auto"/>
      <w:ind w:firstLine="360"/>
    </w:pPr>
    <w:rPr>
      <w:rFonts w:ascii="Calibri" w:hAnsi="Calibri"/>
      <w:kern w:val="0"/>
      <w:sz w:val="18"/>
      <w:szCs w:val="24"/>
    </w:rPr>
  </w:style>
  <w:style w:type="paragraph" w:styleId="25">
    <w:name w:val="Balloon Text"/>
    <w:basedOn w:val="1"/>
    <w:link w:val="54"/>
    <w:unhideWhenUsed/>
    <w:qFormat/>
    <w:uiPriority w:val="0"/>
    <w:pPr>
      <w:spacing w:line="240" w:lineRule="auto"/>
    </w:pPr>
    <w:rPr>
      <w:sz w:val="18"/>
      <w:szCs w:val="18"/>
    </w:rPr>
  </w:style>
  <w:style w:type="paragraph" w:styleId="26">
    <w:name w:val="footer"/>
    <w:basedOn w:val="1"/>
    <w:link w:val="52"/>
    <w:unhideWhenUsed/>
    <w:qFormat/>
    <w:uiPriority w:val="99"/>
    <w:pPr>
      <w:tabs>
        <w:tab w:val="center" w:pos="4153"/>
        <w:tab w:val="right" w:pos="8306"/>
      </w:tabs>
      <w:snapToGrid w:val="0"/>
      <w:spacing w:line="240" w:lineRule="auto"/>
      <w:jc w:val="left"/>
    </w:pPr>
    <w:rPr>
      <w:sz w:val="18"/>
      <w:szCs w:val="18"/>
    </w:rPr>
  </w:style>
  <w:style w:type="paragraph" w:styleId="27">
    <w:name w:val="Body Text First Indent 2"/>
    <w:basedOn w:val="19"/>
    <w:link w:val="144"/>
    <w:qFormat/>
    <w:uiPriority w:val="0"/>
    <w:pPr>
      <w:spacing w:after="120" w:line="240" w:lineRule="auto"/>
      <w:ind w:left="420" w:leftChars="200" w:firstLine="420"/>
    </w:pPr>
    <w:rPr>
      <w:sz w:val="21"/>
    </w:rPr>
  </w:style>
  <w:style w:type="paragraph" w:styleId="28">
    <w:name w:val="header"/>
    <w:basedOn w:val="1"/>
    <w:link w:val="51"/>
    <w:unhideWhenUsed/>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29">
    <w:name w:val="toc 1"/>
    <w:basedOn w:val="1"/>
    <w:next w:val="1"/>
    <w:unhideWhenUsed/>
    <w:qFormat/>
    <w:uiPriority w:val="39"/>
    <w:pPr>
      <w:tabs>
        <w:tab w:val="right" w:leader="dot" w:pos="9060"/>
      </w:tabs>
      <w:spacing w:line="300" w:lineRule="auto"/>
      <w:ind w:firstLine="482"/>
    </w:pPr>
    <w:rPr>
      <w:b/>
    </w:rPr>
  </w:style>
  <w:style w:type="paragraph" w:styleId="30">
    <w:name w:val="List"/>
    <w:basedOn w:val="1"/>
    <w:qFormat/>
    <w:uiPriority w:val="0"/>
    <w:pPr>
      <w:spacing w:line="300" w:lineRule="auto"/>
      <w:jc w:val="left"/>
    </w:pPr>
    <w:rPr>
      <w:sz w:val="21"/>
      <w:szCs w:val="24"/>
    </w:rPr>
  </w:style>
  <w:style w:type="paragraph" w:styleId="31">
    <w:name w:val="footnote text"/>
    <w:basedOn w:val="1"/>
    <w:link w:val="104"/>
    <w:qFormat/>
    <w:uiPriority w:val="0"/>
    <w:pPr>
      <w:snapToGrid w:val="0"/>
      <w:spacing w:line="240" w:lineRule="auto"/>
      <w:jc w:val="left"/>
    </w:pPr>
    <w:rPr>
      <w:rFonts w:ascii="Calibri" w:hAnsi="Calibri"/>
      <w:sz w:val="18"/>
      <w:szCs w:val="18"/>
    </w:rPr>
  </w:style>
  <w:style w:type="paragraph" w:styleId="32">
    <w:name w:val="Body Text Indent 3"/>
    <w:basedOn w:val="1"/>
    <w:link w:val="109"/>
    <w:qFormat/>
    <w:uiPriority w:val="0"/>
    <w:pPr>
      <w:spacing w:line="240" w:lineRule="auto"/>
      <w:ind w:firstLine="560" w:firstLineChars="200"/>
    </w:pPr>
    <w:rPr>
      <w:rFonts w:ascii="Calibri" w:hAnsi="Calibri"/>
      <w:sz w:val="28"/>
      <w:szCs w:val="24"/>
    </w:rPr>
  </w:style>
  <w:style w:type="paragraph" w:styleId="33">
    <w:name w:val="toc 2"/>
    <w:basedOn w:val="1"/>
    <w:next w:val="1"/>
    <w:unhideWhenUsed/>
    <w:qFormat/>
    <w:uiPriority w:val="39"/>
    <w:pPr>
      <w:tabs>
        <w:tab w:val="right" w:leader="dot" w:pos="9060"/>
      </w:tabs>
      <w:spacing w:line="300" w:lineRule="auto"/>
      <w:ind w:left="480" w:leftChars="200"/>
    </w:pPr>
  </w:style>
  <w:style w:type="paragraph" w:styleId="34">
    <w:name w:val="Body Text 2"/>
    <w:basedOn w:val="1"/>
    <w:link w:val="73"/>
    <w:unhideWhenUsed/>
    <w:qFormat/>
    <w:uiPriority w:val="0"/>
    <w:pPr>
      <w:spacing w:after="120" w:line="480" w:lineRule="auto"/>
    </w:pPr>
    <w:rPr>
      <w:sz w:val="21"/>
      <w:szCs w:val="24"/>
    </w:rPr>
  </w:style>
  <w:style w:type="paragraph" w:styleId="35">
    <w:name w:val="HTML Preformatted"/>
    <w:basedOn w:val="1"/>
    <w:link w:val="112"/>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hAnsi="宋体" w:cs="宋体"/>
      <w:kern w:val="0"/>
      <w:szCs w:val="24"/>
    </w:rPr>
  </w:style>
  <w:style w:type="paragraph" w:styleId="36">
    <w:name w:val="Normal (Web)"/>
    <w:basedOn w:val="1"/>
    <w:qFormat/>
    <w:uiPriority w:val="0"/>
    <w:pPr>
      <w:spacing w:line="240" w:lineRule="auto"/>
    </w:pPr>
    <w:rPr>
      <w:szCs w:val="24"/>
    </w:rPr>
  </w:style>
  <w:style w:type="paragraph" w:styleId="37">
    <w:name w:val="Title"/>
    <w:basedOn w:val="1"/>
    <w:next w:val="1"/>
    <w:link w:val="59"/>
    <w:qFormat/>
    <w:uiPriority w:val="0"/>
    <w:pPr>
      <w:spacing w:before="240" w:after="60"/>
      <w:jc w:val="center"/>
      <w:outlineLvl w:val="0"/>
    </w:pPr>
    <w:rPr>
      <w:rFonts w:ascii="Calibri Light" w:hAnsi="Calibri Light"/>
      <w:b/>
      <w:bCs/>
      <w:sz w:val="32"/>
      <w:szCs w:val="32"/>
    </w:rPr>
  </w:style>
  <w:style w:type="character" w:styleId="39">
    <w:name w:val="page number"/>
    <w:basedOn w:val="38"/>
    <w:qFormat/>
    <w:uiPriority w:val="0"/>
  </w:style>
  <w:style w:type="character" w:styleId="40">
    <w:name w:val="Emphasis"/>
    <w:qFormat/>
    <w:uiPriority w:val="20"/>
    <w:rPr>
      <w:i/>
      <w:iCs/>
    </w:rPr>
  </w:style>
  <w:style w:type="character" w:styleId="41">
    <w:name w:val="Hyperlink"/>
    <w:unhideWhenUsed/>
    <w:qFormat/>
    <w:uiPriority w:val="99"/>
    <w:rPr>
      <w:color w:val="0563C1"/>
      <w:u w:val="single"/>
    </w:rPr>
  </w:style>
  <w:style w:type="character" w:styleId="42">
    <w:name w:val="annotation reference"/>
    <w:basedOn w:val="38"/>
    <w:unhideWhenUsed/>
    <w:qFormat/>
    <w:uiPriority w:val="99"/>
    <w:rPr>
      <w:sz w:val="21"/>
      <w:szCs w:val="21"/>
    </w:rPr>
  </w:style>
  <w:style w:type="character" w:styleId="43">
    <w:name w:val="footnote reference"/>
    <w:qFormat/>
    <w:uiPriority w:val="0"/>
    <w:rPr>
      <w:vertAlign w:val="superscript"/>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46">
    <w:name w:val="样式1"/>
    <w:basedOn w:val="1"/>
    <w:next w:val="29"/>
    <w:qFormat/>
    <w:uiPriority w:val="0"/>
    <w:pPr>
      <w:spacing w:line="540" w:lineRule="exact"/>
      <w:ind w:firstLine="200" w:firstLineChars="200"/>
    </w:pPr>
    <w:rPr>
      <w:rFonts w:ascii="宋体" w:hAnsi="宋体"/>
      <w:b/>
      <w:sz w:val="28"/>
      <w:szCs w:val="28"/>
    </w:rPr>
  </w:style>
  <w:style w:type="character" w:customStyle="1" w:styleId="47">
    <w:name w:val="标题 1 Char"/>
    <w:link w:val="2"/>
    <w:qFormat/>
    <w:uiPriority w:val="9"/>
    <w:rPr>
      <w:rFonts w:ascii="Times New Roman" w:hAnsi="Times New Roman" w:eastAsia="宋体"/>
      <w:b/>
      <w:bCs/>
      <w:kern w:val="44"/>
      <w:sz w:val="30"/>
      <w:szCs w:val="44"/>
    </w:rPr>
  </w:style>
  <w:style w:type="paragraph" w:customStyle="1" w:styleId="48">
    <w:name w:val="列出段落1"/>
    <w:basedOn w:val="1"/>
    <w:qFormat/>
    <w:uiPriority w:val="99"/>
    <w:pPr>
      <w:ind w:firstLine="420"/>
    </w:pPr>
  </w:style>
  <w:style w:type="character" w:customStyle="1" w:styleId="49">
    <w:name w:val="日期 Char"/>
    <w:link w:val="23"/>
    <w:qFormat/>
    <w:uiPriority w:val="0"/>
    <w:rPr>
      <w:rFonts w:ascii="Times New Roman" w:hAnsi="Times New Roman" w:eastAsia="宋体"/>
      <w:sz w:val="24"/>
    </w:rPr>
  </w:style>
  <w:style w:type="character" w:customStyle="1" w:styleId="50">
    <w:name w:val="标题 2 Char"/>
    <w:link w:val="3"/>
    <w:qFormat/>
    <w:uiPriority w:val="9"/>
    <w:rPr>
      <w:rFonts w:ascii="Times New Roman" w:hAnsi="Times New Roman" w:eastAsia="宋体" w:cs="Times New Roman"/>
      <w:b/>
      <w:bCs/>
      <w:sz w:val="28"/>
      <w:szCs w:val="32"/>
    </w:rPr>
  </w:style>
  <w:style w:type="character" w:customStyle="1" w:styleId="51">
    <w:name w:val="页眉 Char"/>
    <w:link w:val="28"/>
    <w:qFormat/>
    <w:uiPriority w:val="99"/>
    <w:rPr>
      <w:rFonts w:ascii="Times New Roman" w:hAnsi="Times New Roman" w:eastAsia="宋体"/>
      <w:sz w:val="18"/>
      <w:szCs w:val="18"/>
    </w:rPr>
  </w:style>
  <w:style w:type="character" w:customStyle="1" w:styleId="52">
    <w:name w:val="页脚 Char"/>
    <w:link w:val="26"/>
    <w:qFormat/>
    <w:uiPriority w:val="99"/>
    <w:rPr>
      <w:rFonts w:ascii="Times New Roman" w:hAnsi="Times New Roman" w:eastAsia="宋体"/>
      <w:sz w:val="18"/>
      <w:szCs w:val="18"/>
    </w:rPr>
  </w:style>
  <w:style w:type="character" w:customStyle="1" w:styleId="53">
    <w:name w:val="占位符文本1"/>
    <w:qFormat/>
    <w:uiPriority w:val="99"/>
    <w:rPr>
      <w:color w:val="808080"/>
    </w:rPr>
  </w:style>
  <w:style w:type="character" w:customStyle="1" w:styleId="54">
    <w:name w:val="批注框文本 Char"/>
    <w:link w:val="25"/>
    <w:semiHidden/>
    <w:qFormat/>
    <w:uiPriority w:val="0"/>
    <w:rPr>
      <w:rFonts w:ascii="Times New Roman" w:hAnsi="Times New Roman" w:eastAsia="宋体"/>
      <w:sz w:val="18"/>
      <w:szCs w:val="18"/>
    </w:rPr>
  </w:style>
  <w:style w:type="character" w:customStyle="1" w:styleId="55">
    <w:name w:val="标题 3 Char"/>
    <w:link w:val="4"/>
    <w:qFormat/>
    <w:uiPriority w:val="0"/>
    <w:rPr>
      <w:rFonts w:ascii="Times New Roman" w:hAnsi="Times New Roman" w:eastAsia="宋体"/>
      <w:b/>
      <w:bCs/>
      <w:sz w:val="32"/>
      <w:szCs w:val="32"/>
    </w:rPr>
  </w:style>
  <w:style w:type="character" w:customStyle="1" w:styleId="56">
    <w:name w:val="文档结构图 Char"/>
    <w:link w:val="16"/>
    <w:semiHidden/>
    <w:qFormat/>
    <w:uiPriority w:val="0"/>
    <w:rPr>
      <w:rFonts w:ascii="宋体" w:hAnsi="Times New Roman" w:eastAsia="宋体"/>
      <w:sz w:val="18"/>
      <w:szCs w:val="18"/>
    </w:rPr>
  </w:style>
  <w:style w:type="paragraph" w:customStyle="1" w:styleId="57">
    <w:name w:val="条文"/>
    <w:basedOn w:val="1"/>
    <w:qFormat/>
    <w:uiPriority w:val="0"/>
  </w:style>
  <w:style w:type="paragraph" w:customStyle="1" w:styleId="58">
    <w:name w:val="正文表标题"/>
    <w:next w:val="1"/>
    <w:qFormat/>
    <w:uiPriority w:val="0"/>
    <w:pPr>
      <w:numPr>
        <w:ilvl w:val="0"/>
        <w:numId w:val="1"/>
      </w:numPr>
      <w:spacing w:beforeLines="50" w:afterLines="50"/>
      <w:jc w:val="center"/>
    </w:pPr>
    <w:rPr>
      <w:rFonts w:ascii="黑体" w:hAnsi="Times New Roman" w:eastAsia="黑体" w:cs="Times New Roman"/>
      <w:sz w:val="21"/>
      <w:lang w:val="en-US" w:eastAsia="zh-CN" w:bidi="ar-SA"/>
    </w:rPr>
  </w:style>
  <w:style w:type="character" w:customStyle="1" w:styleId="59">
    <w:name w:val="标题 Char"/>
    <w:link w:val="37"/>
    <w:qFormat/>
    <w:uiPriority w:val="0"/>
    <w:rPr>
      <w:rFonts w:ascii="Calibri Light" w:hAnsi="Calibri Light" w:eastAsia="宋体" w:cs="Times New Roman"/>
      <w:b/>
      <w:bCs/>
      <w:sz w:val="32"/>
      <w:szCs w:val="32"/>
    </w:rPr>
  </w:style>
  <w:style w:type="character" w:customStyle="1" w:styleId="60">
    <w:name w:val="fontstyle01"/>
    <w:qFormat/>
    <w:uiPriority w:val="0"/>
    <w:rPr>
      <w:rFonts w:hint="default" w:ascii="TT64E9BFA0tCID" w:hAnsi="TT64E9BFA0tCID"/>
      <w:color w:val="000000"/>
      <w:sz w:val="20"/>
      <w:szCs w:val="20"/>
    </w:rPr>
  </w:style>
  <w:style w:type="paragraph" w:customStyle="1" w:styleId="61">
    <w:name w:val="表"/>
    <w:basedOn w:val="1"/>
    <w:link w:val="62"/>
    <w:qFormat/>
    <w:uiPriority w:val="0"/>
    <w:pPr>
      <w:spacing w:line="240" w:lineRule="auto"/>
      <w:jc w:val="center"/>
    </w:pPr>
    <w:rPr>
      <w:rFonts w:cs="MS Gothic"/>
      <w:kern w:val="0"/>
      <w:sz w:val="21"/>
      <w:szCs w:val="24"/>
    </w:rPr>
  </w:style>
  <w:style w:type="character" w:customStyle="1" w:styleId="62">
    <w:name w:val="表 Char"/>
    <w:link w:val="61"/>
    <w:qFormat/>
    <w:uiPriority w:val="0"/>
    <w:rPr>
      <w:rFonts w:ascii="Times New Roman" w:hAnsi="Times New Roman" w:cs="MS Gothic"/>
      <w:sz w:val="21"/>
      <w:szCs w:val="24"/>
    </w:rPr>
  </w:style>
  <w:style w:type="paragraph" w:customStyle="1" w:styleId="63">
    <w:name w:val="表内文字"/>
    <w:basedOn w:val="1"/>
    <w:link w:val="64"/>
    <w:qFormat/>
    <w:uiPriority w:val="0"/>
    <w:pPr>
      <w:adjustRightInd w:val="0"/>
      <w:snapToGrid w:val="0"/>
      <w:spacing w:line="240" w:lineRule="auto"/>
      <w:jc w:val="center"/>
    </w:pPr>
    <w:rPr>
      <w:sz w:val="21"/>
      <w:szCs w:val="28"/>
    </w:rPr>
  </w:style>
  <w:style w:type="character" w:customStyle="1" w:styleId="64">
    <w:name w:val="表内文字 Char"/>
    <w:link w:val="63"/>
    <w:qFormat/>
    <w:uiPriority w:val="0"/>
    <w:rPr>
      <w:rFonts w:ascii="Times New Roman" w:hAnsi="Times New Roman"/>
      <w:kern w:val="2"/>
      <w:sz w:val="21"/>
      <w:szCs w:val="28"/>
    </w:rPr>
  </w:style>
  <w:style w:type="paragraph" w:customStyle="1" w:styleId="65">
    <w:name w:val="表头"/>
    <w:basedOn w:val="1"/>
    <w:link w:val="66"/>
    <w:qFormat/>
    <w:uiPriority w:val="0"/>
    <w:pPr>
      <w:tabs>
        <w:tab w:val="left" w:pos="585"/>
        <w:tab w:val="left" w:pos="2702"/>
        <w:tab w:val="left" w:pos="2822"/>
        <w:tab w:val="left" w:pos="2928"/>
      </w:tabs>
      <w:spacing w:afterLines="50" w:line="360" w:lineRule="exact"/>
      <w:jc w:val="center"/>
    </w:pPr>
    <w:rPr>
      <w:rFonts w:hAnsi="宋体"/>
      <w:b/>
      <w:szCs w:val="28"/>
    </w:rPr>
  </w:style>
  <w:style w:type="character" w:customStyle="1" w:styleId="66">
    <w:name w:val="表头 Char"/>
    <w:link w:val="65"/>
    <w:qFormat/>
    <w:uiPriority w:val="0"/>
    <w:rPr>
      <w:rFonts w:ascii="Times New Roman" w:hAnsi="宋体"/>
      <w:b/>
      <w:kern w:val="2"/>
      <w:sz w:val="24"/>
      <w:szCs w:val="28"/>
    </w:rPr>
  </w:style>
  <w:style w:type="paragraph" w:customStyle="1" w:styleId="67">
    <w:name w:val="表名"/>
    <w:basedOn w:val="1"/>
    <w:link w:val="68"/>
    <w:qFormat/>
    <w:uiPriority w:val="0"/>
    <w:pPr>
      <w:jc w:val="center"/>
    </w:pPr>
    <w:rPr>
      <w:b/>
      <w:kern w:val="0"/>
      <w:szCs w:val="28"/>
    </w:rPr>
  </w:style>
  <w:style w:type="character" w:customStyle="1" w:styleId="68">
    <w:name w:val="表名 Char"/>
    <w:link w:val="67"/>
    <w:qFormat/>
    <w:uiPriority w:val="0"/>
    <w:rPr>
      <w:rFonts w:ascii="Times New Roman" w:hAnsi="Times New Roman"/>
      <w:b/>
      <w:sz w:val="24"/>
      <w:szCs w:val="28"/>
    </w:rPr>
  </w:style>
  <w:style w:type="character" w:customStyle="1" w:styleId="69">
    <w:name w:val="纯文本 Char"/>
    <w:qFormat/>
    <w:uiPriority w:val="0"/>
    <w:rPr>
      <w:rFonts w:ascii="宋体" w:hAnsi="Courier New" w:cs="Courier New"/>
      <w:kern w:val="2"/>
      <w:sz w:val="21"/>
      <w:szCs w:val="21"/>
    </w:rPr>
  </w:style>
  <w:style w:type="character" w:customStyle="1" w:styleId="70">
    <w:name w:val="纯文本 Char1"/>
    <w:link w:val="22"/>
    <w:qFormat/>
    <w:uiPriority w:val="0"/>
    <w:rPr>
      <w:rFonts w:ascii="宋体" w:hAnsi="Courier"/>
      <w:sz w:val="28"/>
      <w:szCs w:val="28"/>
    </w:rPr>
  </w:style>
  <w:style w:type="paragraph" w:customStyle="1" w:styleId="71">
    <w:name w:val="附录A列表"/>
    <w:basedOn w:val="1"/>
    <w:qFormat/>
    <w:uiPriority w:val="0"/>
    <w:pPr>
      <w:keepNext/>
      <w:spacing w:line="300" w:lineRule="auto"/>
      <w:jc w:val="center"/>
    </w:pPr>
    <w:rPr>
      <w:sz w:val="21"/>
      <w:szCs w:val="24"/>
    </w:rPr>
  </w:style>
  <w:style w:type="character" w:customStyle="1" w:styleId="72">
    <w:name w:val="正文文本 2 Char"/>
    <w:basedOn w:val="38"/>
    <w:qFormat/>
    <w:uiPriority w:val="0"/>
    <w:rPr>
      <w:rFonts w:ascii="Times New Roman" w:hAnsi="Times New Roman"/>
      <w:kern w:val="2"/>
      <w:sz w:val="24"/>
      <w:szCs w:val="22"/>
    </w:rPr>
  </w:style>
  <w:style w:type="character" w:customStyle="1" w:styleId="73">
    <w:name w:val="正文文本 2 Char1"/>
    <w:basedOn w:val="38"/>
    <w:link w:val="34"/>
    <w:qFormat/>
    <w:uiPriority w:val="0"/>
    <w:rPr>
      <w:rFonts w:ascii="Times New Roman" w:hAnsi="Times New Roman"/>
      <w:kern w:val="2"/>
      <w:sz w:val="21"/>
      <w:szCs w:val="24"/>
    </w:rPr>
  </w:style>
  <w:style w:type="paragraph" w:customStyle="1" w:styleId="74">
    <w:name w:val="xl26"/>
    <w:basedOn w:val="1"/>
    <w:qFormat/>
    <w:uiPriority w:val="0"/>
    <w:pPr>
      <w:widowControl/>
      <w:pBdr>
        <w:bottom w:val="single" w:color="auto" w:sz="4" w:space="0"/>
        <w:right w:val="single" w:color="auto" w:sz="4" w:space="0"/>
      </w:pBdr>
      <w:spacing w:before="100" w:beforeAutospacing="1" w:after="100" w:afterAutospacing="1" w:line="240" w:lineRule="auto"/>
      <w:jc w:val="center"/>
      <w:textAlignment w:val="center"/>
    </w:pPr>
    <w:rPr>
      <w:kern w:val="0"/>
      <w:sz w:val="21"/>
      <w:szCs w:val="21"/>
    </w:rPr>
  </w:style>
  <w:style w:type="paragraph" w:customStyle="1" w:styleId="75">
    <w:name w:val="标准正文"/>
    <w:qFormat/>
    <w:uiPriority w:val="0"/>
    <w:pPr>
      <w:spacing w:line="400" w:lineRule="exact"/>
    </w:pPr>
    <w:rPr>
      <w:rFonts w:ascii="Times New Roman" w:hAnsi="Times New Roman" w:eastAsia="宋体" w:cs="Times New Roman"/>
      <w:color w:val="000000"/>
      <w:sz w:val="21"/>
      <w:lang w:val="en-US" w:eastAsia="zh-CN" w:bidi="ar-SA"/>
    </w:rPr>
  </w:style>
  <w:style w:type="paragraph" w:customStyle="1" w:styleId="76">
    <w:name w:val="Char Char Char Char"/>
    <w:basedOn w:val="1"/>
    <w:qFormat/>
    <w:uiPriority w:val="0"/>
    <w:pPr>
      <w:ind w:firstLine="200" w:firstLineChars="200"/>
    </w:pPr>
    <w:rPr>
      <w:sz w:val="28"/>
      <w:szCs w:val="21"/>
    </w:rPr>
  </w:style>
  <w:style w:type="paragraph" w:customStyle="1" w:styleId="77">
    <w:name w:val="段"/>
    <w:qFormat/>
    <w:uiPriority w:val="0"/>
    <w:pPr>
      <w:autoSpaceDE w:val="0"/>
      <w:autoSpaceDN w:val="0"/>
      <w:ind w:firstLine="200" w:firstLineChars="200"/>
      <w:jc w:val="both"/>
    </w:pPr>
    <w:rPr>
      <w:rFonts w:ascii="宋体" w:hAnsi="Times New Roman" w:eastAsia="宋体" w:cs="Times New Roman"/>
      <w:sz w:val="21"/>
      <w:szCs w:val="22"/>
      <w:lang w:val="en-US" w:eastAsia="zh-CN" w:bidi="ar-SA"/>
    </w:rPr>
  </w:style>
  <w:style w:type="paragraph" w:customStyle="1" w:styleId="78">
    <w:name w:val="二级条标题"/>
    <w:basedOn w:val="1"/>
    <w:next w:val="77"/>
    <w:qFormat/>
    <w:uiPriority w:val="0"/>
    <w:pPr>
      <w:widowControl/>
      <w:numPr>
        <w:ilvl w:val="0"/>
        <w:numId w:val="2"/>
      </w:numPr>
      <w:outlineLvl w:val="3"/>
    </w:pPr>
    <w:rPr>
      <w:rFonts w:ascii="黑体" w:eastAsia="黑体"/>
      <w:kern w:val="0"/>
    </w:rPr>
  </w:style>
  <w:style w:type="character" w:customStyle="1" w:styleId="79">
    <w:name w:val="正文文本 Char"/>
    <w:basedOn w:val="38"/>
    <w:link w:val="18"/>
    <w:qFormat/>
    <w:uiPriority w:val="0"/>
    <w:rPr>
      <w:rFonts w:ascii="Times New Roman" w:hAnsi="Times New Roman"/>
      <w:kern w:val="2"/>
      <w:sz w:val="24"/>
      <w:szCs w:val="22"/>
    </w:rPr>
  </w:style>
  <w:style w:type="character" w:customStyle="1" w:styleId="80">
    <w:name w:val="标题 4 Char"/>
    <w:basedOn w:val="38"/>
    <w:link w:val="5"/>
    <w:qFormat/>
    <w:uiPriority w:val="0"/>
    <w:rPr>
      <w:rFonts w:ascii="Arial" w:hAnsi="Arial" w:eastAsia="黑体"/>
      <w:b/>
      <w:bCs/>
      <w:kern w:val="2"/>
      <w:sz w:val="28"/>
      <w:szCs w:val="28"/>
    </w:rPr>
  </w:style>
  <w:style w:type="character" w:customStyle="1" w:styleId="81">
    <w:name w:val="标题 5 Char"/>
    <w:basedOn w:val="38"/>
    <w:link w:val="6"/>
    <w:qFormat/>
    <w:uiPriority w:val="0"/>
    <w:rPr>
      <w:rFonts w:ascii="Times New Roman" w:hAnsi="Times New Roman"/>
      <w:b/>
      <w:bCs/>
      <w:kern w:val="2"/>
      <w:sz w:val="28"/>
      <w:szCs w:val="28"/>
    </w:rPr>
  </w:style>
  <w:style w:type="character" w:customStyle="1" w:styleId="82">
    <w:name w:val="标题 6 Char"/>
    <w:basedOn w:val="38"/>
    <w:link w:val="7"/>
    <w:qFormat/>
    <w:uiPriority w:val="0"/>
    <w:rPr>
      <w:rFonts w:ascii="Arial" w:hAnsi="Arial" w:eastAsia="黑体"/>
      <w:b/>
      <w:bCs/>
      <w:kern w:val="2"/>
      <w:sz w:val="24"/>
      <w:szCs w:val="24"/>
    </w:rPr>
  </w:style>
  <w:style w:type="character" w:customStyle="1" w:styleId="83">
    <w:name w:val="标题 7 Char"/>
    <w:basedOn w:val="38"/>
    <w:link w:val="8"/>
    <w:qFormat/>
    <w:uiPriority w:val="0"/>
    <w:rPr>
      <w:rFonts w:ascii="Times New Roman" w:hAnsi="Times New Roman"/>
      <w:b/>
      <w:bCs/>
      <w:kern w:val="2"/>
      <w:sz w:val="24"/>
      <w:szCs w:val="24"/>
    </w:rPr>
  </w:style>
  <w:style w:type="character" w:customStyle="1" w:styleId="84">
    <w:name w:val="标题 8 Char"/>
    <w:basedOn w:val="38"/>
    <w:link w:val="9"/>
    <w:qFormat/>
    <w:uiPriority w:val="0"/>
    <w:rPr>
      <w:rFonts w:ascii="Arial" w:hAnsi="Arial" w:eastAsia="黑体"/>
      <w:kern w:val="2"/>
      <w:sz w:val="24"/>
      <w:szCs w:val="24"/>
    </w:rPr>
  </w:style>
  <w:style w:type="character" w:customStyle="1" w:styleId="85">
    <w:name w:val="标题 9 Char"/>
    <w:basedOn w:val="38"/>
    <w:link w:val="10"/>
    <w:qFormat/>
    <w:uiPriority w:val="0"/>
    <w:rPr>
      <w:rFonts w:ascii="Arial" w:hAnsi="Arial" w:eastAsia="黑体"/>
      <w:kern w:val="2"/>
      <w:sz w:val="28"/>
      <w:szCs w:val="21"/>
    </w:rPr>
  </w:style>
  <w:style w:type="character" w:customStyle="1" w:styleId="86">
    <w:name w:val="标题 1 Char1"/>
    <w:qFormat/>
    <w:uiPriority w:val="9"/>
    <w:rPr>
      <w:rFonts w:ascii="Times New Roman" w:hAnsi="Times New Roman" w:eastAsia="宋体"/>
      <w:b/>
      <w:bCs/>
      <w:kern w:val="44"/>
      <w:sz w:val="30"/>
      <w:szCs w:val="44"/>
    </w:rPr>
  </w:style>
  <w:style w:type="character" w:customStyle="1" w:styleId="87">
    <w:name w:val="标题 2 Char1"/>
    <w:qFormat/>
    <w:uiPriority w:val="9"/>
    <w:rPr>
      <w:rFonts w:ascii="Times New Roman" w:hAnsi="Times New Roman" w:eastAsia="宋体" w:cs="Times New Roman"/>
      <w:b/>
      <w:bCs/>
      <w:sz w:val="28"/>
      <w:szCs w:val="32"/>
    </w:rPr>
  </w:style>
  <w:style w:type="character" w:customStyle="1" w:styleId="88">
    <w:name w:val="标题 3 Char1"/>
    <w:qFormat/>
    <w:uiPriority w:val="0"/>
    <w:rPr>
      <w:rFonts w:ascii="Times New Roman" w:hAnsi="Times New Roman" w:eastAsia="宋体"/>
      <w:b/>
      <w:bCs/>
      <w:sz w:val="32"/>
      <w:szCs w:val="32"/>
    </w:rPr>
  </w:style>
  <w:style w:type="character" w:customStyle="1" w:styleId="89">
    <w:name w:val="日期 Char1"/>
    <w:qFormat/>
    <w:uiPriority w:val="0"/>
    <w:rPr>
      <w:rFonts w:ascii="Times New Roman" w:hAnsi="Times New Roman" w:eastAsia="宋体"/>
      <w:sz w:val="24"/>
    </w:rPr>
  </w:style>
  <w:style w:type="character" w:customStyle="1" w:styleId="90">
    <w:name w:val="页眉 Char1"/>
    <w:qFormat/>
    <w:uiPriority w:val="0"/>
    <w:rPr>
      <w:rFonts w:ascii="Times New Roman" w:hAnsi="Times New Roman" w:eastAsia="宋体"/>
      <w:sz w:val="18"/>
      <w:szCs w:val="18"/>
    </w:rPr>
  </w:style>
  <w:style w:type="character" w:customStyle="1" w:styleId="91">
    <w:name w:val="页脚 Char1"/>
    <w:qFormat/>
    <w:uiPriority w:val="0"/>
    <w:rPr>
      <w:rFonts w:ascii="Times New Roman" w:hAnsi="Times New Roman" w:eastAsia="宋体"/>
      <w:sz w:val="18"/>
      <w:szCs w:val="18"/>
    </w:rPr>
  </w:style>
  <w:style w:type="character" w:customStyle="1" w:styleId="92">
    <w:name w:val="标题 Char2"/>
    <w:qFormat/>
    <w:uiPriority w:val="0"/>
    <w:rPr>
      <w:rFonts w:ascii="Calibri Light" w:hAnsi="Calibri Light" w:eastAsia="宋体" w:cs="Times New Roman"/>
      <w:b/>
      <w:bCs/>
      <w:sz w:val="32"/>
      <w:szCs w:val="32"/>
    </w:rPr>
  </w:style>
  <w:style w:type="character" w:customStyle="1" w:styleId="93">
    <w:name w:val="标题 4 字符"/>
    <w:basedOn w:val="38"/>
    <w:qFormat/>
    <w:uiPriority w:val="0"/>
    <w:rPr>
      <w:rFonts w:asciiTheme="majorHAnsi" w:hAnsiTheme="majorHAnsi" w:eastAsiaTheme="majorEastAsia" w:cstheme="majorBidi"/>
      <w:b/>
      <w:bCs/>
      <w:kern w:val="2"/>
      <w:sz w:val="28"/>
      <w:szCs w:val="28"/>
    </w:rPr>
  </w:style>
  <w:style w:type="character" w:customStyle="1" w:styleId="94">
    <w:name w:val="标题 5 字符"/>
    <w:basedOn w:val="38"/>
    <w:qFormat/>
    <w:uiPriority w:val="0"/>
    <w:rPr>
      <w:rFonts w:ascii="Times New Roman" w:hAnsi="Times New Roman"/>
      <w:b/>
      <w:bCs/>
      <w:kern w:val="2"/>
      <w:sz w:val="28"/>
      <w:szCs w:val="28"/>
    </w:rPr>
  </w:style>
  <w:style w:type="character" w:customStyle="1" w:styleId="95">
    <w:name w:val="标题 6 字符"/>
    <w:basedOn w:val="38"/>
    <w:qFormat/>
    <w:uiPriority w:val="0"/>
    <w:rPr>
      <w:rFonts w:asciiTheme="majorHAnsi" w:hAnsiTheme="majorHAnsi" w:eastAsiaTheme="majorEastAsia" w:cstheme="majorBidi"/>
      <w:b/>
      <w:bCs/>
      <w:kern w:val="2"/>
      <w:sz w:val="24"/>
      <w:szCs w:val="24"/>
    </w:rPr>
  </w:style>
  <w:style w:type="character" w:customStyle="1" w:styleId="96">
    <w:name w:val="标题 7 字符"/>
    <w:basedOn w:val="38"/>
    <w:qFormat/>
    <w:uiPriority w:val="0"/>
    <w:rPr>
      <w:rFonts w:ascii="Times New Roman" w:hAnsi="Times New Roman"/>
      <w:b/>
      <w:bCs/>
      <w:kern w:val="2"/>
      <w:sz w:val="24"/>
      <w:szCs w:val="24"/>
    </w:rPr>
  </w:style>
  <w:style w:type="character" w:customStyle="1" w:styleId="97">
    <w:name w:val="标题 8 字符"/>
    <w:basedOn w:val="38"/>
    <w:qFormat/>
    <w:uiPriority w:val="0"/>
    <w:rPr>
      <w:rFonts w:asciiTheme="majorHAnsi" w:hAnsiTheme="majorHAnsi" w:eastAsiaTheme="majorEastAsia" w:cstheme="majorBidi"/>
      <w:kern w:val="2"/>
      <w:sz w:val="24"/>
      <w:szCs w:val="24"/>
    </w:rPr>
  </w:style>
  <w:style w:type="character" w:customStyle="1" w:styleId="98">
    <w:name w:val="标题 9 字符"/>
    <w:basedOn w:val="38"/>
    <w:qFormat/>
    <w:uiPriority w:val="0"/>
    <w:rPr>
      <w:rFonts w:asciiTheme="majorHAnsi" w:hAnsiTheme="majorHAnsi" w:eastAsiaTheme="majorEastAsia" w:cstheme="majorBidi"/>
      <w:kern w:val="2"/>
      <w:sz w:val="21"/>
      <w:szCs w:val="21"/>
    </w:rPr>
  </w:style>
  <w:style w:type="character" w:customStyle="1" w:styleId="99">
    <w:name w:val="批注文字 Char"/>
    <w:link w:val="12"/>
    <w:semiHidden/>
    <w:qFormat/>
    <w:uiPriority w:val="0"/>
    <w:rPr>
      <w:kern w:val="2"/>
      <w:sz w:val="21"/>
      <w:szCs w:val="24"/>
    </w:rPr>
  </w:style>
  <w:style w:type="character" w:customStyle="1" w:styleId="100">
    <w:name w:val="批注文字 Char1"/>
    <w:basedOn w:val="38"/>
    <w:semiHidden/>
    <w:qFormat/>
    <w:uiPriority w:val="99"/>
    <w:rPr>
      <w:rFonts w:ascii="Times New Roman" w:hAnsi="Times New Roman"/>
      <w:kern w:val="2"/>
      <w:sz w:val="24"/>
      <w:szCs w:val="22"/>
    </w:rPr>
  </w:style>
  <w:style w:type="character" w:customStyle="1" w:styleId="101">
    <w:name w:val="批注文字 字符"/>
    <w:basedOn w:val="38"/>
    <w:semiHidden/>
    <w:qFormat/>
    <w:uiPriority w:val="0"/>
    <w:rPr>
      <w:rFonts w:ascii="Times New Roman" w:hAnsi="Times New Roman"/>
      <w:kern w:val="2"/>
      <w:sz w:val="24"/>
      <w:szCs w:val="22"/>
    </w:rPr>
  </w:style>
  <w:style w:type="character" w:customStyle="1" w:styleId="102">
    <w:name w:val="car1"/>
    <w:qFormat/>
    <w:uiPriority w:val="0"/>
  </w:style>
  <w:style w:type="character" w:customStyle="1" w:styleId="103">
    <w:name w:val="样式 内容 + 首行缩进:  2 字符 Char Char"/>
    <w:qFormat/>
    <w:uiPriority w:val="0"/>
    <w:rPr>
      <w:rFonts w:ascii="仿宋_GB2312" w:eastAsia="仿宋_GB2312"/>
      <w:kern w:val="2"/>
      <w:sz w:val="28"/>
      <w:szCs w:val="28"/>
      <w:lang w:val="en-US" w:eastAsia="zh-CN" w:bidi="ar-SA"/>
    </w:rPr>
  </w:style>
  <w:style w:type="character" w:customStyle="1" w:styleId="104">
    <w:name w:val="脚注文本 Char1"/>
    <w:link w:val="31"/>
    <w:qFormat/>
    <w:uiPriority w:val="0"/>
    <w:rPr>
      <w:kern w:val="2"/>
      <w:sz w:val="18"/>
      <w:szCs w:val="18"/>
    </w:rPr>
  </w:style>
  <w:style w:type="character" w:customStyle="1" w:styleId="105">
    <w:name w:val="脚注文本 Char"/>
    <w:basedOn w:val="38"/>
    <w:qFormat/>
    <w:uiPriority w:val="0"/>
    <w:rPr>
      <w:rFonts w:ascii="Times New Roman" w:hAnsi="Times New Roman"/>
      <w:kern w:val="2"/>
      <w:sz w:val="18"/>
      <w:szCs w:val="18"/>
    </w:rPr>
  </w:style>
  <w:style w:type="character" w:customStyle="1" w:styleId="106">
    <w:name w:val="脚注文本 字符"/>
    <w:basedOn w:val="38"/>
    <w:qFormat/>
    <w:uiPriority w:val="0"/>
    <w:rPr>
      <w:rFonts w:ascii="Times New Roman" w:hAnsi="Times New Roman"/>
      <w:kern w:val="2"/>
      <w:sz w:val="18"/>
      <w:szCs w:val="18"/>
    </w:rPr>
  </w:style>
  <w:style w:type="character" w:customStyle="1" w:styleId="107">
    <w:name w:val="标题 11"/>
    <w:qFormat/>
    <w:uiPriority w:val="0"/>
    <w:rPr>
      <w:rFonts w:eastAsia="宋体"/>
      <w:b/>
      <w:bCs/>
      <w:kern w:val="2"/>
      <w:sz w:val="28"/>
      <w:szCs w:val="24"/>
      <w:lang w:val="en-US" w:eastAsia="zh-CN" w:bidi="ar-SA"/>
    </w:rPr>
  </w:style>
  <w:style w:type="character" w:customStyle="1" w:styleId="108">
    <w:name w:val="font01"/>
    <w:qFormat/>
    <w:uiPriority w:val="0"/>
    <w:rPr>
      <w:rFonts w:hint="eastAsia" w:ascii="宋体" w:hAnsi="宋体" w:eastAsia="宋体" w:cs="宋体"/>
      <w:color w:val="000000"/>
      <w:sz w:val="16"/>
      <w:szCs w:val="16"/>
      <w:u w:val="none"/>
      <w:vertAlign w:val="subscript"/>
    </w:rPr>
  </w:style>
  <w:style w:type="character" w:customStyle="1" w:styleId="109">
    <w:name w:val="正文文本缩进 3 Char1"/>
    <w:link w:val="32"/>
    <w:qFormat/>
    <w:uiPriority w:val="0"/>
    <w:rPr>
      <w:kern w:val="2"/>
      <w:sz w:val="28"/>
      <w:szCs w:val="24"/>
    </w:rPr>
  </w:style>
  <w:style w:type="character" w:customStyle="1" w:styleId="110">
    <w:name w:val="正文文本缩进 3 Char"/>
    <w:basedOn w:val="38"/>
    <w:qFormat/>
    <w:uiPriority w:val="0"/>
    <w:rPr>
      <w:rFonts w:ascii="Times New Roman" w:hAnsi="Times New Roman"/>
      <w:kern w:val="2"/>
      <w:sz w:val="16"/>
      <w:szCs w:val="16"/>
    </w:rPr>
  </w:style>
  <w:style w:type="character" w:customStyle="1" w:styleId="111">
    <w:name w:val="正文文本缩进 3 字符"/>
    <w:basedOn w:val="38"/>
    <w:qFormat/>
    <w:uiPriority w:val="0"/>
    <w:rPr>
      <w:rFonts w:ascii="Times New Roman" w:hAnsi="Times New Roman"/>
      <w:kern w:val="2"/>
      <w:sz w:val="16"/>
      <w:szCs w:val="16"/>
    </w:rPr>
  </w:style>
  <w:style w:type="character" w:customStyle="1" w:styleId="112">
    <w:name w:val="HTML 预设格式 Char"/>
    <w:link w:val="35"/>
    <w:qFormat/>
    <w:uiPriority w:val="99"/>
    <w:rPr>
      <w:rFonts w:ascii="宋体" w:hAnsi="宋体" w:cs="宋体"/>
      <w:sz w:val="24"/>
      <w:szCs w:val="24"/>
    </w:rPr>
  </w:style>
  <w:style w:type="character" w:customStyle="1" w:styleId="113">
    <w:name w:val="HTML 预设格式 Char1"/>
    <w:basedOn w:val="38"/>
    <w:semiHidden/>
    <w:qFormat/>
    <w:uiPriority w:val="99"/>
    <w:rPr>
      <w:rFonts w:ascii="Courier New" w:hAnsi="Courier New" w:cs="Courier New"/>
      <w:kern w:val="2"/>
    </w:rPr>
  </w:style>
  <w:style w:type="character" w:customStyle="1" w:styleId="114">
    <w:name w:val="HTML 预设格式 字符"/>
    <w:basedOn w:val="38"/>
    <w:qFormat/>
    <w:uiPriority w:val="99"/>
    <w:rPr>
      <w:rFonts w:ascii="Courier New" w:hAnsi="Courier New" w:cs="Courier New"/>
      <w:kern w:val="2"/>
    </w:rPr>
  </w:style>
  <w:style w:type="character" w:customStyle="1" w:styleId="115">
    <w:name w:val="正文文本首行缩进 2 字符"/>
    <w:link w:val="116"/>
    <w:qFormat/>
    <w:uiPriority w:val="0"/>
    <w:rPr>
      <w:kern w:val="2"/>
      <w:sz w:val="21"/>
      <w:szCs w:val="24"/>
    </w:rPr>
  </w:style>
  <w:style w:type="paragraph" w:customStyle="1" w:styleId="116">
    <w:name w:val="_Style 61"/>
    <w:basedOn w:val="1"/>
    <w:next w:val="1"/>
    <w:link w:val="115"/>
    <w:qFormat/>
    <w:uiPriority w:val="0"/>
    <w:pPr>
      <w:spacing w:line="240" w:lineRule="auto"/>
      <w:ind w:left="3360" w:leftChars="1600"/>
    </w:pPr>
    <w:rPr>
      <w:rFonts w:ascii="Calibri" w:hAnsi="Calibri"/>
      <w:sz w:val="21"/>
      <w:szCs w:val="24"/>
    </w:rPr>
  </w:style>
  <w:style w:type="character" w:customStyle="1" w:styleId="117">
    <w:name w:val="正文文本 3 Char"/>
    <w:qFormat/>
    <w:uiPriority w:val="0"/>
    <w:rPr>
      <w:kern w:val="2"/>
      <w:sz w:val="16"/>
      <w:szCs w:val="16"/>
    </w:rPr>
  </w:style>
  <w:style w:type="character" w:customStyle="1" w:styleId="118">
    <w:name w:val="1级标题 Char Char"/>
    <w:link w:val="119"/>
    <w:qFormat/>
    <w:uiPriority w:val="0"/>
    <w:rPr>
      <w:rFonts w:ascii="黑体" w:hAnsi="宋体" w:eastAsia="黑体"/>
      <w:color w:val="000000"/>
      <w:sz w:val="36"/>
      <w:szCs w:val="36"/>
      <w:lang w:val="zh-CN"/>
    </w:rPr>
  </w:style>
  <w:style w:type="paragraph" w:customStyle="1" w:styleId="119">
    <w:name w:val="1级标题 Char"/>
    <w:basedOn w:val="1"/>
    <w:link w:val="118"/>
    <w:qFormat/>
    <w:uiPriority w:val="0"/>
    <w:pPr>
      <w:autoSpaceDE w:val="0"/>
      <w:autoSpaceDN w:val="0"/>
      <w:adjustRightInd w:val="0"/>
      <w:snapToGrid w:val="0"/>
      <w:spacing w:beforeLines="100" w:afterLines="100"/>
      <w:jc w:val="center"/>
    </w:pPr>
    <w:rPr>
      <w:rFonts w:ascii="黑体" w:hAnsi="宋体" w:eastAsia="黑体"/>
      <w:color w:val="000000"/>
      <w:kern w:val="0"/>
      <w:sz w:val="36"/>
      <w:szCs w:val="36"/>
      <w:lang w:val="zh-CN"/>
    </w:rPr>
  </w:style>
  <w:style w:type="character" w:customStyle="1" w:styleId="120">
    <w:name w:val="批注主题 Char"/>
    <w:link w:val="11"/>
    <w:semiHidden/>
    <w:qFormat/>
    <w:uiPriority w:val="0"/>
    <w:rPr>
      <w:b/>
      <w:bCs/>
      <w:kern w:val="2"/>
      <w:sz w:val="21"/>
      <w:szCs w:val="24"/>
    </w:rPr>
  </w:style>
  <w:style w:type="character" w:customStyle="1" w:styleId="121">
    <w:name w:val="批注主题 Char1"/>
    <w:basedOn w:val="100"/>
    <w:semiHidden/>
    <w:qFormat/>
    <w:uiPriority w:val="99"/>
    <w:rPr>
      <w:rFonts w:ascii="Times New Roman" w:hAnsi="Times New Roman"/>
      <w:b/>
      <w:bCs/>
      <w:kern w:val="2"/>
      <w:sz w:val="24"/>
      <w:szCs w:val="22"/>
    </w:rPr>
  </w:style>
  <w:style w:type="character" w:customStyle="1" w:styleId="122">
    <w:name w:val="批注主题 字符"/>
    <w:basedOn w:val="101"/>
    <w:semiHidden/>
    <w:qFormat/>
    <w:uiPriority w:val="99"/>
    <w:rPr>
      <w:rFonts w:ascii="Times New Roman" w:hAnsi="Times New Roman"/>
      <w:b/>
      <w:bCs/>
      <w:kern w:val="2"/>
      <w:sz w:val="24"/>
      <w:szCs w:val="22"/>
    </w:rPr>
  </w:style>
  <w:style w:type="character" w:customStyle="1" w:styleId="123">
    <w:name w:val="font21"/>
    <w:qFormat/>
    <w:uiPriority w:val="0"/>
    <w:rPr>
      <w:rFonts w:hint="eastAsia" w:ascii="宋体" w:hAnsi="宋体" w:eastAsia="宋体" w:cs="宋体"/>
      <w:color w:val="000000"/>
      <w:sz w:val="16"/>
      <w:szCs w:val="16"/>
      <w:u w:val="none"/>
      <w:vertAlign w:val="superscript"/>
    </w:rPr>
  </w:style>
  <w:style w:type="character" w:customStyle="1" w:styleId="124">
    <w:name w:val="unnamed11"/>
    <w:qFormat/>
    <w:uiPriority w:val="0"/>
  </w:style>
  <w:style w:type="character" w:customStyle="1" w:styleId="125">
    <w:name w:val="正文文本缩进 2 Char1"/>
    <w:link w:val="24"/>
    <w:qFormat/>
    <w:uiPriority w:val="0"/>
    <w:rPr>
      <w:sz w:val="18"/>
      <w:szCs w:val="24"/>
    </w:rPr>
  </w:style>
  <w:style w:type="character" w:customStyle="1" w:styleId="126">
    <w:name w:val="正文文本缩进 2 Char"/>
    <w:basedOn w:val="38"/>
    <w:qFormat/>
    <w:uiPriority w:val="0"/>
    <w:rPr>
      <w:rFonts w:ascii="Times New Roman" w:hAnsi="Times New Roman"/>
      <w:kern w:val="2"/>
      <w:sz w:val="24"/>
      <w:szCs w:val="22"/>
    </w:rPr>
  </w:style>
  <w:style w:type="character" w:customStyle="1" w:styleId="127">
    <w:name w:val="正文文本缩进 2 字符"/>
    <w:basedOn w:val="38"/>
    <w:qFormat/>
    <w:uiPriority w:val="0"/>
    <w:rPr>
      <w:rFonts w:ascii="Times New Roman" w:hAnsi="Times New Roman"/>
      <w:kern w:val="2"/>
      <w:sz w:val="24"/>
      <w:szCs w:val="22"/>
    </w:rPr>
  </w:style>
  <w:style w:type="character" w:customStyle="1" w:styleId="128">
    <w:name w:val="正文文本 Char1"/>
    <w:qFormat/>
    <w:uiPriority w:val="0"/>
    <w:rPr>
      <w:rFonts w:ascii="宋体"/>
      <w:kern w:val="2"/>
      <w:sz w:val="28"/>
      <w:szCs w:val="24"/>
    </w:rPr>
  </w:style>
  <w:style w:type="character" w:customStyle="1" w:styleId="129">
    <w:name w:val="正文文本 字符"/>
    <w:basedOn w:val="38"/>
    <w:qFormat/>
    <w:uiPriority w:val="0"/>
    <w:rPr>
      <w:rFonts w:ascii="Times New Roman" w:hAnsi="Times New Roman"/>
      <w:kern w:val="2"/>
      <w:sz w:val="24"/>
      <w:szCs w:val="22"/>
    </w:rPr>
  </w:style>
  <w:style w:type="character" w:customStyle="1" w:styleId="130">
    <w:name w:val="正文文本缩进 Char"/>
    <w:qFormat/>
    <w:uiPriority w:val="0"/>
    <w:rPr>
      <w:kern w:val="2"/>
      <w:sz w:val="21"/>
      <w:szCs w:val="24"/>
    </w:rPr>
  </w:style>
  <w:style w:type="character" w:customStyle="1" w:styleId="131">
    <w:name w:val="font31"/>
    <w:qFormat/>
    <w:uiPriority w:val="0"/>
    <w:rPr>
      <w:rFonts w:hint="eastAsia" w:ascii="宋体" w:hAnsi="宋体" w:eastAsia="宋体" w:cs="宋体"/>
      <w:color w:val="000000"/>
      <w:sz w:val="16"/>
      <w:szCs w:val="16"/>
      <w:u w:val="none"/>
    </w:rPr>
  </w:style>
  <w:style w:type="character" w:customStyle="1" w:styleId="132">
    <w:name w:val="标题 Char1"/>
    <w:qFormat/>
    <w:uiPriority w:val="10"/>
    <w:rPr>
      <w:rFonts w:ascii="Cambria" w:hAnsi="Cambria" w:eastAsia="宋体" w:cs="Times New Roman"/>
      <w:b/>
      <w:bCs/>
      <w:sz w:val="32"/>
      <w:szCs w:val="32"/>
    </w:rPr>
  </w:style>
  <w:style w:type="character" w:customStyle="1" w:styleId="133">
    <w:name w:val="textcontents"/>
    <w:qFormat/>
    <w:uiPriority w:val="0"/>
  </w:style>
  <w:style w:type="character" w:customStyle="1" w:styleId="134">
    <w:name w:val="style171"/>
    <w:qFormat/>
    <w:uiPriority w:val="0"/>
    <w:rPr>
      <w:b/>
      <w:bCs/>
      <w:color w:val="000000"/>
      <w:sz w:val="21"/>
      <w:szCs w:val="21"/>
    </w:rPr>
  </w:style>
  <w:style w:type="character" w:customStyle="1" w:styleId="135">
    <w:name w:val="正文文本缩进 Char1"/>
    <w:link w:val="19"/>
    <w:qFormat/>
    <w:uiPriority w:val="0"/>
    <w:rPr>
      <w:kern w:val="2"/>
      <w:sz w:val="28"/>
      <w:szCs w:val="24"/>
    </w:rPr>
  </w:style>
  <w:style w:type="character" w:customStyle="1" w:styleId="136">
    <w:name w:val="正文文本缩进 Char2"/>
    <w:basedOn w:val="38"/>
    <w:semiHidden/>
    <w:qFormat/>
    <w:uiPriority w:val="99"/>
    <w:rPr>
      <w:rFonts w:ascii="Times New Roman" w:hAnsi="Times New Roman"/>
      <w:kern w:val="2"/>
      <w:sz w:val="24"/>
      <w:szCs w:val="22"/>
    </w:rPr>
  </w:style>
  <w:style w:type="character" w:customStyle="1" w:styleId="137">
    <w:name w:val="正文文本缩进 字符"/>
    <w:basedOn w:val="38"/>
    <w:qFormat/>
    <w:uiPriority w:val="0"/>
    <w:rPr>
      <w:rFonts w:ascii="Times New Roman" w:hAnsi="Times New Roman"/>
      <w:kern w:val="2"/>
      <w:sz w:val="24"/>
      <w:szCs w:val="22"/>
    </w:rPr>
  </w:style>
  <w:style w:type="character" w:customStyle="1" w:styleId="138">
    <w:name w:val="正文文本 2 字符"/>
    <w:basedOn w:val="38"/>
    <w:qFormat/>
    <w:uiPriority w:val="0"/>
    <w:rPr>
      <w:rFonts w:ascii="Times New Roman" w:hAnsi="Times New Roman"/>
      <w:kern w:val="2"/>
      <w:sz w:val="24"/>
      <w:szCs w:val="22"/>
    </w:rPr>
  </w:style>
  <w:style w:type="character" w:customStyle="1" w:styleId="139">
    <w:name w:val="正文文本 3 Char1"/>
    <w:link w:val="17"/>
    <w:qFormat/>
    <w:uiPriority w:val="0"/>
    <w:rPr>
      <w:sz w:val="28"/>
      <w:szCs w:val="21"/>
      <w:lang w:val="zh-CN"/>
    </w:rPr>
  </w:style>
  <w:style w:type="character" w:customStyle="1" w:styleId="140">
    <w:name w:val="正文文本 3 Char2"/>
    <w:basedOn w:val="38"/>
    <w:semiHidden/>
    <w:qFormat/>
    <w:uiPriority w:val="99"/>
    <w:rPr>
      <w:rFonts w:ascii="Times New Roman" w:hAnsi="Times New Roman"/>
      <w:kern w:val="2"/>
      <w:sz w:val="16"/>
      <w:szCs w:val="16"/>
    </w:rPr>
  </w:style>
  <w:style w:type="character" w:customStyle="1" w:styleId="141">
    <w:name w:val="正文文本 3 字符"/>
    <w:basedOn w:val="38"/>
    <w:qFormat/>
    <w:uiPriority w:val="0"/>
    <w:rPr>
      <w:rFonts w:ascii="Times New Roman" w:hAnsi="Times New Roman"/>
      <w:kern w:val="2"/>
      <w:sz w:val="16"/>
      <w:szCs w:val="16"/>
    </w:rPr>
  </w:style>
  <w:style w:type="character" w:customStyle="1" w:styleId="142">
    <w:name w:val="Char Char5"/>
    <w:qFormat/>
    <w:locked/>
    <w:uiPriority w:val="0"/>
    <w:rPr>
      <w:rFonts w:ascii="宋体" w:hAnsi="宋体" w:eastAsia="宋体"/>
      <w:kern w:val="2"/>
      <w:sz w:val="21"/>
      <w:szCs w:val="24"/>
      <w:lang w:val="en-US" w:eastAsia="zh-CN" w:bidi="ar-SA"/>
    </w:rPr>
  </w:style>
  <w:style w:type="character" w:customStyle="1" w:styleId="143">
    <w:name w:val="Char Char12"/>
    <w:qFormat/>
    <w:uiPriority w:val="0"/>
    <w:rPr>
      <w:rFonts w:ascii="Times New Roman" w:hAnsi="Times New Roman" w:eastAsia="宋体" w:cs="Times New Roman"/>
      <w:szCs w:val="21"/>
    </w:rPr>
  </w:style>
  <w:style w:type="character" w:customStyle="1" w:styleId="144">
    <w:name w:val="正文首行缩进 2 Char"/>
    <w:link w:val="27"/>
    <w:qFormat/>
    <w:uiPriority w:val="0"/>
    <w:rPr>
      <w:kern w:val="2"/>
      <w:sz w:val="21"/>
      <w:szCs w:val="24"/>
    </w:rPr>
  </w:style>
  <w:style w:type="character" w:customStyle="1" w:styleId="145">
    <w:name w:val="正文首行缩进 2 Char1"/>
    <w:basedOn w:val="136"/>
    <w:semiHidden/>
    <w:qFormat/>
    <w:uiPriority w:val="99"/>
    <w:rPr>
      <w:rFonts w:ascii="Times New Roman" w:hAnsi="Times New Roman"/>
      <w:kern w:val="2"/>
      <w:sz w:val="24"/>
      <w:szCs w:val="22"/>
    </w:rPr>
  </w:style>
  <w:style w:type="character" w:customStyle="1" w:styleId="146">
    <w:name w:val="正文文本首行缩进 2 字符1"/>
    <w:basedOn w:val="137"/>
    <w:semiHidden/>
    <w:qFormat/>
    <w:uiPriority w:val="99"/>
    <w:rPr>
      <w:rFonts w:ascii="Times New Roman" w:hAnsi="Times New Roman"/>
      <w:kern w:val="2"/>
      <w:sz w:val="24"/>
      <w:szCs w:val="22"/>
    </w:rPr>
  </w:style>
  <w:style w:type="paragraph" w:customStyle="1" w:styleId="147">
    <w:name w:val="Default"/>
    <w:qFormat/>
    <w:uiPriority w:val="0"/>
    <w:pPr>
      <w:widowControl w:val="0"/>
      <w:autoSpaceDE w:val="0"/>
      <w:autoSpaceDN w:val="0"/>
      <w:adjustRightInd w:val="0"/>
    </w:pPr>
    <w:rPr>
      <w:rFonts w:ascii="宋体" w:hAnsi="Calibri" w:eastAsia="宋体" w:cs="Times New Roman"/>
      <w:color w:val="000000"/>
      <w:sz w:val="24"/>
      <w:szCs w:val="24"/>
      <w:lang w:val="en-US" w:eastAsia="zh-CN" w:bidi="ar-SA"/>
    </w:rPr>
  </w:style>
  <w:style w:type="paragraph" w:customStyle="1" w:styleId="148">
    <w:name w:val="正文文稿 Char"/>
    <w:basedOn w:val="1"/>
    <w:qFormat/>
    <w:uiPriority w:val="0"/>
    <w:pPr>
      <w:adjustRightInd w:val="0"/>
      <w:spacing w:line="480" w:lineRule="exact"/>
      <w:ind w:firstLine="200" w:firstLineChars="200"/>
      <w:textAlignment w:val="baseline"/>
    </w:pPr>
    <w:rPr>
      <w:rFonts w:ascii="仿宋_GB2312" w:eastAsia="仿宋_GB2312"/>
      <w:kern w:val="28"/>
      <w:sz w:val="28"/>
      <w:szCs w:val="20"/>
    </w:rPr>
  </w:style>
  <w:style w:type="paragraph" w:customStyle="1" w:styleId="149">
    <w:name w:val="正文文本 21"/>
    <w:basedOn w:val="1"/>
    <w:qFormat/>
    <w:uiPriority w:val="0"/>
    <w:pPr>
      <w:spacing w:after="120" w:line="480" w:lineRule="auto"/>
    </w:pPr>
    <w:rPr>
      <w:sz w:val="21"/>
      <w:szCs w:val="24"/>
    </w:rPr>
  </w:style>
  <w:style w:type="paragraph" w:customStyle="1" w:styleId="150">
    <w:name w:val="目录生成"/>
    <w:basedOn w:val="1"/>
    <w:qFormat/>
    <w:uiPriority w:val="0"/>
    <w:pPr>
      <w:spacing w:line="500" w:lineRule="exact"/>
      <w:ind w:firstLine="1192" w:firstLineChars="371"/>
      <w:outlineLvl w:val="0"/>
    </w:pPr>
    <w:rPr>
      <w:rFonts w:ascii="宋体" w:hAnsi="宋体"/>
      <w:b/>
      <w:bCs/>
      <w:sz w:val="32"/>
      <w:szCs w:val="32"/>
    </w:rPr>
  </w:style>
  <w:style w:type="paragraph" w:customStyle="1" w:styleId="151">
    <w:name w:val="正文文稿"/>
    <w:basedOn w:val="1"/>
    <w:qFormat/>
    <w:uiPriority w:val="0"/>
    <w:pPr>
      <w:adjustRightInd w:val="0"/>
      <w:spacing w:line="480" w:lineRule="exact"/>
      <w:ind w:firstLine="200" w:firstLineChars="200"/>
      <w:textAlignment w:val="baseline"/>
    </w:pPr>
    <w:rPr>
      <w:rFonts w:ascii="仿宋_GB2312" w:eastAsia="仿宋_GB2312"/>
      <w:kern w:val="28"/>
      <w:sz w:val="28"/>
      <w:szCs w:val="20"/>
    </w:rPr>
  </w:style>
  <w:style w:type="paragraph" w:customStyle="1" w:styleId="152">
    <w:name w:val="TOC 标题1"/>
    <w:basedOn w:val="2"/>
    <w:next w:val="1"/>
    <w:qFormat/>
    <w:uiPriority w:val="39"/>
    <w:pPr>
      <w:keepNext/>
      <w:keepLines/>
      <w:widowControl/>
      <w:spacing w:beforeLines="0" w:afterLines="0" w:line="276" w:lineRule="auto"/>
      <w:jc w:val="left"/>
      <w:outlineLvl w:val="9"/>
    </w:pPr>
    <w:rPr>
      <w:rFonts w:ascii="Cambria" w:hAnsi="Cambria"/>
      <w:color w:val="365F91"/>
      <w:kern w:val="0"/>
      <w:sz w:val="28"/>
      <w:szCs w:val="28"/>
    </w:rPr>
  </w:style>
  <w:style w:type="paragraph" w:customStyle="1" w:styleId="153">
    <w:name w:val="图表标题"/>
    <w:next w:val="1"/>
    <w:qFormat/>
    <w:uiPriority w:val="0"/>
    <w:pPr>
      <w:adjustRightInd w:val="0"/>
      <w:spacing w:line="480" w:lineRule="exact"/>
      <w:jc w:val="center"/>
      <w:textAlignment w:val="baseline"/>
    </w:pPr>
    <w:rPr>
      <w:rFonts w:ascii="仿宋_GB2312" w:hAnsi="Times New Roman" w:eastAsia="仿宋_GB2312" w:cs="Times New Roman"/>
      <w:b/>
      <w:kern w:val="28"/>
      <w:sz w:val="28"/>
      <w:lang w:val="en-US" w:eastAsia="zh-CN" w:bidi="ar-SA"/>
    </w:rPr>
  </w:style>
  <w:style w:type="paragraph" w:customStyle="1" w:styleId="154">
    <w:name w:val="CM5"/>
    <w:basedOn w:val="1"/>
    <w:next w:val="1"/>
    <w:qFormat/>
    <w:uiPriority w:val="0"/>
    <w:pPr>
      <w:autoSpaceDE w:val="0"/>
      <w:autoSpaceDN w:val="0"/>
      <w:adjustRightInd w:val="0"/>
      <w:spacing w:line="206" w:lineRule="atLeast"/>
      <w:jc w:val="left"/>
    </w:pPr>
    <w:rPr>
      <w:rFonts w:ascii="ST Song" w:eastAsia="ST Song" w:cs="ST Song"/>
      <w:kern w:val="0"/>
      <w:szCs w:val="24"/>
    </w:rPr>
  </w:style>
  <w:style w:type="paragraph" w:customStyle="1" w:styleId="155">
    <w:name w:val="前言正文"/>
    <w:basedOn w:val="156"/>
    <w:qFormat/>
    <w:uiPriority w:val="0"/>
    <w:pPr>
      <w:spacing w:line="400" w:lineRule="exact"/>
      <w:ind w:firstLine="420"/>
    </w:pPr>
    <w:rPr>
      <w:sz w:val="21"/>
      <w:szCs w:val="21"/>
    </w:rPr>
  </w:style>
  <w:style w:type="paragraph" w:customStyle="1" w:styleId="156">
    <w:name w:val="100"/>
    <w:qFormat/>
    <w:uiPriority w:val="0"/>
    <w:pPr>
      <w:widowControl w:val="0"/>
      <w:spacing w:line="360" w:lineRule="exact"/>
      <w:ind w:firstLine="210"/>
      <w:jc w:val="both"/>
    </w:pPr>
    <w:rPr>
      <w:rFonts w:ascii="Times New Roman" w:hAnsi="Times New Roman" w:eastAsia="宋体" w:cs="Times New Roman"/>
      <w:color w:val="000000"/>
      <w:sz w:val="18"/>
      <w:szCs w:val="18"/>
      <w:lang w:val="en-US" w:eastAsia="zh-CN" w:bidi="ar-SA"/>
    </w:rPr>
  </w:style>
  <w:style w:type="paragraph" w:customStyle="1" w:styleId="157">
    <w:name w:val="一子"/>
    <w:basedOn w:val="1"/>
    <w:qFormat/>
    <w:uiPriority w:val="0"/>
    <w:pPr>
      <w:ind w:firstLine="200" w:firstLineChars="200"/>
    </w:pPr>
    <w:rPr>
      <w:rFonts w:ascii="宋体" w:hAnsi="宋体"/>
      <w:sz w:val="27"/>
      <w:szCs w:val="24"/>
    </w:rPr>
  </w:style>
  <w:style w:type="paragraph" w:customStyle="1" w:styleId="158">
    <w:name w:val="样式3"/>
    <w:basedOn w:val="28"/>
    <w:qFormat/>
    <w:uiPriority w:val="0"/>
    <w:rPr>
      <w:sz w:val="28"/>
    </w:rPr>
  </w:style>
  <w:style w:type="paragraph" w:customStyle="1" w:styleId="159">
    <w:name w:val="Char"/>
    <w:basedOn w:val="1"/>
    <w:qFormat/>
    <w:uiPriority w:val="0"/>
    <w:pPr>
      <w:spacing w:line="240" w:lineRule="auto"/>
    </w:pPr>
    <w:rPr>
      <w:rFonts w:ascii="Tahoma" w:hAnsi="Tahoma"/>
      <w:szCs w:val="20"/>
    </w:rPr>
  </w:style>
  <w:style w:type="paragraph" w:customStyle="1" w:styleId="160">
    <w:name w:val="样式 内容 + 首行缩进:  2 字符"/>
    <w:basedOn w:val="1"/>
    <w:qFormat/>
    <w:uiPriority w:val="0"/>
    <w:pPr>
      <w:spacing w:line="460" w:lineRule="exact"/>
      <w:ind w:firstLine="560" w:firstLineChars="200"/>
    </w:pPr>
    <w:rPr>
      <w:rFonts w:ascii="仿宋_GB2312" w:eastAsia="仿宋_GB2312" w:cs="宋体"/>
      <w:sz w:val="28"/>
      <w:szCs w:val="28"/>
    </w:rPr>
  </w:style>
  <w:style w:type="paragraph" w:customStyle="1" w:styleId="161">
    <w:name w:val="!3级标题"/>
    <w:basedOn w:val="1"/>
    <w:next w:val="1"/>
    <w:qFormat/>
    <w:uiPriority w:val="0"/>
    <w:pPr>
      <w:spacing w:line="440" w:lineRule="exact"/>
      <w:ind w:firstLine="200" w:firstLineChars="200"/>
    </w:pPr>
    <w:rPr>
      <w:rFonts w:ascii="宋体" w:hAnsi="宋体"/>
      <w:snapToGrid w:val="0"/>
      <w:sz w:val="28"/>
      <w:szCs w:val="20"/>
    </w:rPr>
  </w:style>
  <w:style w:type="paragraph" w:customStyle="1" w:styleId="162">
    <w:name w:val="Char Char Char Char Char Char1 Char Char Char Char"/>
    <w:basedOn w:val="1"/>
    <w:qFormat/>
    <w:uiPriority w:val="0"/>
    <w:pPr>
      <w:widowControl/>
      <w:spacing w:after="160" w:line="240" w:lineRule="exact"/>
      <w:jc w:val="left"/>
    </w:pPr>
    <w:rPr>
      <w:rFonts w:ascii="黑体" w:hAnsi="宋体" w:eastAsia="黑体"/>
      <w:kern w:val="0"/>
      <w:sz w:val="30"/>
      <w:szCs w:val="30"/>
      <w:lang w:eastAsia="en-US"/>
    </w:rPr>
  </w:style>
  <w:style w:type="paragraph" w:customStyle="1" w:styleId="163">
    <w:name w:val="样式 内容 + 首行缩进:  2 字符 Char"/>
    <w:basedOn w:val="1"/>
    <w:qFormat/>
    <w:uiPriority w:val="0"/>
    <w:pPr>
      <w:spacing w:line="460" w:lineRule="exact"/>
      <w:ind w:firstLine="560" w:firstLineChars="200"/>
    </w:pPr>
    <w:rPr>
      <w:rFonts w:ascii="仿宋_GB2312" w:eastAsia="仿宋_GB2312"/>
      <w:sz w:val="28"/>
      <w:szCs w:val="28"/>
    </w:rPr>
  </w:style>
  <w:style w:type="paragraph" w:customStyle="1" w:styleId="164">
    <w:name w:val="正文文本缩进 21"/>
    <w:basedOn w:val="1"/>
    <w:qFormat/>
    <w:uiPriority w:val="0"/>
    <w:pPr>
      <w:spacing w:after="120" w:line="480" w:lineRule="auto"/>
      <w:ind w:left="420" w:leftChars="200"/>
    </w:pPr>
    <w:rPr>
      <w:sz w:val="21"/>
      <w:szCs w:val="24"/>
    </w:rPr>
  </w:style>
  <w:style w:type="paragraph" w:customStyle="1" w:styleId="165">
    <w:name w:val="_Style 1"/>
    <w:basedOn w:val="1"/>
    <w:qFormat/>
    <w:uiPriority w:val="34"/>
    <w:pPr>
      <w:ind w:firstLine="420" w:firstLineChars="200"/>
    </w:pPr>
    <w:rPr>
      <w:sz w:val="28"/>
      <w:szCs w:val="24"/>
    </w:rPr>
  </w:style>
  <w:style w:type="paragraph" w:customStyle="1" w:styleId="166">
    <w:name w:val="reader-word-layer"/>
    <w:basedOn w:val="1"/>
    <w:qFormat/>
    <w:uiPriority w:val="0"/>
    <w:pPr>
      <w:widowControl/>
      <w:spacing w:before="100" w:beforeAutospacing="1" w:after="100" w:afterAutospacing="1"/>
      <w:ind w:firstLine="200" w:firstLineChars="200"/>
      <w:jc w:val="left"/>
    </w:pPr>
    <w:rPr>
      <w:rFonts w:ascii="宋体" w:hAnsi="宋体" w:cs="宋体"/>
      <w:kern w:val="0"/>
      <w:szCs w:val="24"/>
    </w:rPr>
  </w:style>
  <w:style w:type="paragraph" w:customStyle="1" w:styleId="167">
    <w:name w:val="表题"/>
    <w:basedOn w:val="15"/>
    <w:next w:val="1"/>
    <w:qFormat/>
    <w:uiPriority w:val="0"/>
    <w:pPr>
      <w:widowControl/>
      <w:tabs>
        <w:tab w:val="left" w:pos="425"/>
      </w:tabs>
      <w:overflowPunct w:val="0"/>
      <w:autoSpaceDE w:val="0"/>
      <w:autoSpaceDN w:val="0"/>
      <w:adjustRightInd w:val="0"/>
      <w:spacing w:before="120" w:after="240" w:line="420" w:lineRule="atLeast"/>
      <w:ind w:left="0" w:firstLine="0"/>
      <w:jc w:val="center"/>
      <w:textAlignment w:val="baseline"/>
    </w:pPr>
    <w:rPr>
      <w:rFonts w:ascii="宋体" w:hAnsi="宋体"/>
      <w:spacing w:val="10"/>
      <w:kern w:val="0"/>
      <w:sz w:val="22"/>
      <w:szCs w:val="22"/>
    </w:rPr>
  </w:style>
  <w:style w:type="paragraph" w:customStyle="1" w:styleId="168">
    <w:name w:val="1级标题"/>
    <w:basedOn w:val="1"/>
    <w:qFormat/>
    <w:uiPriority w:val="0"/>
    <w:pPr>
      <w:autoSpaceDE w:val="0"/>
      <w:autoSpaceDN w:val="0"/>
      <w:adjustRightInd w:val="0"/>
      <w:snapToGrid w:val="0"/>
      <w:jc w:val="center"/>
    </w:pPr>
    <w:rPr>
      <w:rFonts w:ascii="黑体" w:hAnsi="宋体" w:eastAsia="黑体"/>
      <w:bCs/>
      <w:color w:val="000000"/>
      <w:kern w:val="0"/>
      <w:sz w:val="10"/>
      <w:szCs w:val="10"/>
      <w:lang w:val="zh-CN"/>
    </w:rPr>
  </w:style>
  <w:style w:type="paragraph" w:customStyle="1" w:styleId="169">
    <w:name w:val="样式4"/>
    <w:basedOn w:val="28"/>
    <w:qFormat/>
    <w:uiPriority w:val="0"/>
    <w:rPr>
      <w:rFonts w:ascii="宋体" w:hAnsi="宋体"/>
    </w:rPr>
  </w:style>
  <w:style w:type="paragraph" w:customStyle="1" w:styleId="170">
    <w:name w:val="Körper"/>
    <w:basedOn w:val="1"/>
    <w:qFormat/>
    <w:uiPriority w:val="0"/>
    <w:pPr>
      <w:widowControl/>
      <w:spacing w:before="120" w:line="240" w:lineRule="exact"/>
    </w:pPr>
    <w:rPr>
      <w:rFonts w:ascii="Arial" w:hAnsi="Arial"/>
      <w:kern w:val="0"/>
      <w:sz w:val="20"/>
      <w:szCs w:val="20"/>
      <w:lang w:val="de-DE" w:eastAsia="de-DE"/>
    </w:rPr>
  </w:style>
  <w:style w:type="paragraph" w:customStyle="1" w:styleId="171">
    <w:name w:val="公式"/>
    <w:basedOn w:val="1"/>
    <w:qFormat/>
    <w:uiPriority w:val="0"/>
    <w:pPr>
      <w:adjustRightInd w:val="0"/>
      <w:snapToGrid w:val="0"/>
      <w:spacing w:before="160" w:after="40" w:line="420" w:lineRule="atLeast"/>
      <w:ind w:firstLine="522"/>
      <w:jc w:val="left"/>
      <w:textAlignment w:val="baseline"/>
    </w:pPr>
    <w:rPr>
      <w:color w:val="000000"/>
      <w:spacing w:val="10"/>
      <w:kern w:val="0"/>
      <w:szCs w:val="20"/>
    </w:rPr>
  </w:style>
  <w:style w:type="paragraph" w:customStyle="1" w:styleId="172">
    <w:name w:val="CM16"/>
    <w:basedOn w:val="1"/>
    <w:next w:val="1"/>
    <w:qFormat/>
    <w:uiPriority w:val="0"/>
    <w:pPr>
      <w:autoSpaceDE w:val="0"/>
      <w:autoSpaceDN w:val="0"/>
      <w:adjustRightInd w:val="0"/>
      <w:spacing w:line="208" w:lineRule="atLeast"/>
      <w:jc w:val="left"/>
    </w:pPr>
    <w:rPr>
      <w:rFonts w:ascii="ST Song" w:eastAsia="ST Song" w:cs="ST Song"/>
      <w:kern w:val="0"/>
      <w:szCs w:val="24"/>
    </w:rPr>
  </w:style>
  <w:style w:type="paragraph" w:customStyle="1" w:styleId="173">
    <w:name w:val="CM17"/>
    <w:basedOn w:val="147"/>
    <w:next w:val="147"/>
    <w:qFormat/>
    <w:uiPriority w:val="0"/>
    <w:pPr>
      <w:spacing w:line="216" w:lineRule="atLeast"/>
    </w:pPr>
    <w:rPr>
      <w:rFonts w:ascii="ST Song" w:hAnsi="Times New Roman" w:eastAsia="ST Song" w:cs="ST Song"/>
      <w:color w:val="auto"/>
    </w:rPr>
  </w:style>
  <w:style w:type="paragraph" w:customStyle="1" w:styleId="174">
    <w:name w:val="Table Paragraph"/>
    <w:basedOn w:val="1"/>
    <w:qFormat/>
    <w:uiPriority w:val="99"/>
    <w:pPr>
      <w:spacing w:line="240" w:lineRule="auto"/>
      <w:jc w:val="left"/>
    </w:pPr>
    <w:rPr>
      <w:rFonts w:ascii="Calibri" w:hAnsi="Calibri"/>
      <w:kern w:val="0"/>
      <w:sz w:val="22"/>
      <w:lang w:eastAsia="en-US"/>
    </w:rPr>
  </w:style>
  <w:style w:type="character" w:customStyle="1" w:styleId="175">
    <w:name w:val="页眉 字符1"/>
    <w:qFormat/>
    <w:uiPriority w:val="99"/>
    <w:rPr>
      <w:kern w:val="2"/>
      <w:sz w:val="18"/>
      <w:szCs w:val="18"/>
    </w:rPr>
  </w:style>
  <w:style w:type="character" w:customStyle="1" w:styleId="176">
    <w:name w:val="日期 字符1"/>
    <w:qFormat/>
    <w:uiPriority w:val="0"/>
    <w:rPr>
      <w:kern w:val="2"/>
      <w:sz w:val="28"/>
      <w:szCs w:val="24"/>
    </w:rPr>
  </w:style>
  <w:style w:type="paragraph" w:customStyle="1" w:styleId="177">
    <w:name w:val="TOC 标题11"/>
    <w:basedOn w:val="2"/>
    <w:next w:val="1"/>
    <w:qFormat/>
    <w:uiPriority w:val="39"/>
    <w:pPr>
      <w:keepNext/>
      <w:keepLines/>
      <w:widowControl/>
      <w:spacing w:beforeLines="0" w:afterLines="0" w:line="276" w:lineRule="auto"/>
      <w:jc w:val="left"/>
      <w:outlineLvl w:val="9"/>
    </w:pPr>
    <w:rPr>
      <w:rFonts w:ascii="Cambria" w:hAnsi="Cambria"/>
      <w:color w:val="365F91"/>
      <w:kern w:val="0"/>
      <w:sz w:val="28"/>
      <w:szCs w:val="28"/>
    </w:rPr>
  </w:style>
  <w:style w:type="paragraph" w:customStyle="1" w:styleId="178">
    <w:name w:val="List Paragraph"/>
    <w:basedOn w:val="1"/>
    <w:qFormat/>
    <w:uiPriority w:val="99"/>
    <w:pPr>
      <w:ind w:firstLine="420"/>
    </w:p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9" Type="http://schemas.openxmlformats.org/officeDocument/2006/relationships/fontTable" Target="fontTable.xml"/><Relationship Id="rId68" Type="http://schemas.openxmlformats.org/officeDocument/2006/relationships/customXml" Target="../customXml/item2.xml"/><Relationship Id="rId67" Type="http://schemas.openxmlformats.org/officeDocument/2006/relationships/numbering" Target="numbering.xml"/><Relationship Id="rId66" Type="http://schemas.openxmlformats.org/officeDocument/2006/relationships/customXml" Target="../customXml/item1.xml"/><Relationship Id="rId65" Type="http://schemas.openxmlformats.org/officeDocument/2006/relationships/image" Target="media/image28.png"/><Relationship Id="rId64" Type="http://schemas.openxmlformats.org/officeDocument/2006/relationships/image" Target="media/image27.wmf"/><Relationship Id="rId63" Type="http://schemas.openxmlformats.org/officeDocument/2006/relationships/oleObject" Target="embeddings/oleObject25.bin"/><Relationship Id="rId62" Type="http://schemas.openxmlformats.org/officeDocument/2006/relationships/image" Target="media/image26.wmf"/><Relationship Id="rId61" Type="http://schemas.openxmlformats.org/officeDocument/2006/relationships/oleObject" Target="embeddings/oleObject24.bin"/><Relationship Id="rId60" Type="http://schemas.openxmlformats.org/officeDocument/2006/relationships/image" Target="media/image25.wmf"/><Relationship Id="rId6" Type="http://schemas.openxmlformats.org/officeDocument/2006/relationships/footer" Target="footer2.xml"/><Relationship Id="rId59" Type="http://schemas.openxmlformats.org/officeDocument/2006/relationships/oleObject" Target="embeddings/oleObject23.bin"/><Relationship Id="rId58" Type="http://schemas.openxmlformats.org/officeDocument/2006/relationships/image" Target="media/image24.wmf"/><Relationship Id="rId57" Type="http://schemas.openxmlformats.org/officeDocument/2006/relationships/oleObject" Target="embeddings/oleObject22.bin"/><Relationship Id="rId56" Type="http://schemas.openxmlformats.org/officeDocument/2006/relationships/image" Target="media/image23.wmf"/><Relationship Id="rId55" Type="http://schemas.openxmlformats.org/officeDocument/2006/relationships/oleObject" Target="embeddings/oleObject21.bin"/><Relationship Id="rId54" Type="http://schemas.openxmlformats.org/officeDocument/2006/relationships/image" Target="media/image22.emf"/><Relationship Id="rId53" Type="http://schemas.openxmlformats.org/officeDocument/2006/relationships/oleObject" Target="embeddings/oleObject20.bin"/><Relationship Id="rId52" Type="http://schemas.openxmlformats.org/officeDocument/2006/relationships/image" Target="media/image21.emf"/><Relationship Id="rId51" Type="http://schemas.openxmlformats.org/officeDocument/2006/relationships/oleObject" Target="embeddings/oleObject19.bin"/><Relationship Id="rId50" Type="http://schemas.openxmlformats.org/officeDocument/2006/relationships/image" Target="media/image20.emf"/><Relationship Id="rId5" Type="http://schemas.openxmlformats.org/officeDocument/2006/relationships/footer" Target="footer1.xml"/><Relationship Id="rId49" Type="http://schemas.openxmlformats.org/officeDocument/2006/relationships/image" Target="media/image19.emf"/><Relationship Id="rId48" Type="http://schemas.openxmlformats.org/officeDocument/2006/relationships/image" Target="media/image18.emf"/><Relationship Id="rId47" Type="http://schemas.openxmlformats.org/officeDocument/2006/relationships/image" Target="media/image17.emf"/><Relationship Id="rId46" Type="http://schemas.openxmlformats.org/officeDocument/2006/relationships/oleObject" Target="embeddings/oleObject18.bin"/><Relationship Id="rId45" Type="http://schemas.openxmlformats.org/officeDocument/2006/relationships/image" Target="media/image16.wmf"/><Relationship Id="rId44" Type="http://schemas.openxmlformats.org/officeDocument/2006/relationships/oleObject" Target="embeddings/oleObject17.bin"/><Relationship Id="rId43" Type="http://schemas.openxmlformats.org/officeDocument/2006/relationships/image" Target="media/image15.wmf"/><Relationship Id="rId42" Type="http://schemas.openxmlformats.org/officeDocument/2006/relationships/oleObject" Target="embeddings/oleObject16.bin"/><Relationship Id="rId41" Type="http://schemas.openxmlformats.org/officeDocument/2006/relationships/image" Target="media/image14.wmf"/><Relationship Id="rId40" Type="http://schemas.openxmlformats.org/officeDocument/2006/relationships/oleObject" Target="embeddings/oleObject15.bin"/><Relationship Id="rId4" Type="http://schemas.openxmlformats.org/officeDocument/2006/relationships/header" Target="header2.xml"/><Relationship Id="rId39" Type="http://schemas.openxmlformats.org/officeDocument/2006/relationships/image" Target="media/image13.wmf"/><Relationship Id="rId38" Type="http://schemas.openxmlformats.org/officeDocument/2006/relationships/oleObject" Target="embeddings/oleObject14.bin"/><Relationship Id="rId37" Type="http://schemas.openxmlformats.org/officeDocument/2006/relationships/image" Target="media/image12.wmf"/><Relationship Id="rId36" Type="http://schemas.openxmlformats.org/officeDocument/2006/relationships/oleObject" Target="embeddings/oleObject13.bin"/><Relationship Id="rId35" Type="http://schemas.openxmlformats.org/officeDocument/2006/relationships/image" Target="media/image11.wmf"/><Relationship Id="rId34" Type="http://schemas.openxmlformats.org/officeDocument/2006/relationships/oleObject" Target="embeddings/oleObject12.bin"/><Relationship Id="rId33" Type="http://schemas.openxmlformats.org/officeDocument/2006/relationships/image" Target="media/image10.wmf"/><Relationship Id="rId32" Type="http://schemas.openxmlformats.org/officeDocument/2006/relationships/oleObject" Target="embeddings/oleObject11.bin"/><Relationship Id="rId31" Type="http://schemas.openxmlformats.org/officeDocument/2006/relationships/oleObject" Target="embeddings/oleObject10.bin"/><Relationship Id="rId30" Type="http://schemas.openxmlformats.org/officeDocument/2006/relationships/image" Target="media/image9.wmf"/><Relationship Id="rId3" Type="http://schemas.openxmlformats.org/officeDocument/2006/relationships/header" Target="header1.xml"/><Relationship Id="rId29" Type="http://schemas.openxmlformats.org/officeDocument/2006/relationships/oleObject" Target="embeddings/oleObject9.bin"/><Relationship Id="rId28" Type="http://schemas.openxmlformats.org/officeDocument/2006/relationships/image" Target="media/image8.wmf"/><Relationship Id="rId27" Type="http://schemas.openxmlformats.org/officeDocument/2006/relationships/oleObject" Target="embeddings/oleObject8.bin"/><Relationship Id="rId26" Type="http://schemas.openxmlformats.org/officeDocument/2006/relationships/image" Target="media/image7.emf"/><Relationship Id="rId25" Type="http://schemas.openxmlformats.org/officeDocument/2006/relationships/oleObject" Target="embeddings/oleObject7.bin"/><Relationship Id="rId24" Type="http://schemas.openxmlformats.org/officeDocument/2006/relationships/image" Target="media/image6.wmf"/><Relationship Id="rId23" Type="http://schemas.openxmlformats.org/officeDocument/2006/relationships/oleObject" Target="embeddings/oleObject6.bin"/><Relationship Id="rId22" Type="http://schemas.openxmlformats.org/officeDocument/2006/relationships/image" Target="media/image5.wmf"/><Relationship Id="rId21" Type="http://schemas.openxmlformats.org/officeDocument/2006/relationships/oleObject" Target="embeddings/oleObject5.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4.bin"/><Relationship Id="rId18" Type="http://schemas.openxmlformats.org/officeDocument/2006/relationships/image" Target="media/image3.wmf"/><Relationship Id="rId17" Type="http://schemas.openxmlformats.org/officeDocument/2006/relationships/oleObject" Target="embeddings/oleObject3.bin"/><Relationship Id="rId16" Type="http://schemas.openxmlformats.org/officeDocument/2006/relationships/image" Target="media/image2.wmf"/><Relationship Id="rId15" Type="http://schemas.openxmlformats.org/officeDocument/2006/relationships/oleObject" Target="embeddings/oleObject2.bin"/><Relationship Id="rId14" Type="http://schemas.openxmlformats.org/officeDocument/2006/relationships/image" Target="media/image1.wmf"/><Relationship Id="rId13" Type="http://schemas.openxmlformats.org/officeDocument/2006/relationships/oleObject" Target="embeddings/oleObject1.bin"/><Relationship Id="rId12" Type="http://schemas.openxmlformats.org/officeDocument/2006/relationships/theme" Target="theme/theme1.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B9E18-01C5-460D-B7DA-95A25A731AB3}">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71</Pages>
  <Words>7273</Words>
  <Characters>41460</Characters>
  <Lines>345</Lines>
  <Paragraphs>97</Paragraphs>
  <TotalTime>7</TotalTime>
  <ScaleCrop>false</ScaleCrop>
  <LinksUpToDate>false</LinksUpToDate>
  <CharactersWithSpaces>48636</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2019-03-08T01:37:00Z</dcterms:created>
  <dc:creator>李奎420128</dc:creator>
  <cp:lastModifiedBy>杨珺</cp:lastModifiedBy>
  <cp:lastPrinted>2019-02-25T00:30:00Z</cp:lastPrinted>
  <dcterms:modified xsi:type="dcterms:W3CDTF">2019-03-11T01:21:56Z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